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7E" w:rsidRPr="000A0753" w:rsidRDefault="004B0431" w:rsidP="004B0431">
      <w:pPr>
        <w:pStyle w:val="a3"/>
        <w:numPr>
          <w:ilvl w:val="0"/>
          <w:numId w:val="1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color w:val="FF0000"/>
          <w:sz w:val="28"/>
          <w:szCs w:val="28"/>
          <w:rtl/>
        </w:rPr>
        <w:t xml:space="preserve">المحاضرة التاسعة 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 xml:space="preserve">: مصادر التمويل متوسط و طويل الاجل </w:t>
      </w:r>
    </w:p>
    <w:p w:rsidR="004B0431" w:rsidRPr="000A0753" w:rsidRDefault="004B0431" w:rsidP="004B0431">
      <w:pPr>
        <w:ind w:left="360"/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noProof/>
          <w:sz w:val="28"/>
          <w:szCs w:val="28"/>
        </w:rPr>
        <w:drawing>
          <wp:inline distT="0" distB="0" distL="0" distR="0" wp14:anchorId="435FA30F" wp14:editId="46FF5A41">
            <wp:extent cx="4178595" cy="2349796"/>
            <wp:effectExtent l="76200" t="57150" r="12700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4B0431" w:rsidRPr="000A0753" w:rsidRDefault="004B0431" w:rsidP="004B0431">
      <w:pPr>
        <w:ind w:firstLine="720"/>
        <w:rPr>
          <w:rFonts w:ascii="Arabic Typesetting" w:hAnsi="Arabic Typesetting" w:cs="Arabic Typesetting"/>
          <w:color w:val="E36C0A" w:themeColor="accent6" w:themeShade="BF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>تقديم</w:t>
      </w:r>
      <w:r w:rsidRPr="000A0753">
        <w:rPr>
          <w:rFonts w:ascii="Arabic Typesetting" w:hAnsi="Arabic Typesetting" w:cs="Arabic Typesetting"/>
          <w:color w:val="E36C0A" w:themeColor="accent6" w:themeShade="BF"/>
          <w:sz w:val="28"/>
          <w:szCs w:val="28"/>
          <w:u w:val="single"/>
          <w:rtl/>
        </w:rPr>
        <w:t xml:space="preserve"> </w:t>
      </w:r>
    </w:p>
    <w:p w:rsidR="004B0431" w:rsidRPr="000A0753" w:rsidRDefault="004B0431" w:rsidP="004B0431">
      <w:pPr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تعريف مصادر التمويل طويلة الاجل 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: مصادر التمويل طويلة الأجل هي الأموال التي تحصل عليها الشركة وتمثل التزاما طويل الأجل تجاه أطراف أخرى (كالقروض طويلة الأجل والسندات) أو حقا لطرف آخر (كالأسهم).</w:t>
      </w:r>
    </w:p>
    <w:p w:rsidR="004B0431" w:rsidRPr="002A4BA9" w:rsidRDefault="004B0431" w:rsidP="002A4BA9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</w:pPr>
      <w:r w:rsidRPr="002A4BA9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 xml:space="preserve">الاستئجار </w:t>
      </w:r>
    </w:p>
    <w:p w:rsidR="004B0431" w:rsidRPr="000A0753" w:rsidRDefault="004B0431" w:rsidP="004B0431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>تعريف عقد الاستئجار</w:t>
      </w:r>
      <w:r w:rsidRPr="000A0753">
        <w:rPr>
          <w:rFonts w:ascii="Arabic Typesetting" w:hAnsi="Arabic Typesetting" w:cs="Arabic Typesetting"/>
          <w:color w:val="00B0F0"/>
          <w:sz w:val="28"/>
          <w:szCs w:val="28"/>
          <w:rtl/>
        </w:rPr>
        <w:t xml:space="preserve"> :</w:t>
      </w:r>
      <w:r w:rsidRPr="000A0753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 xml:space="preserve">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الاستئجار ھو عقد یُبرم بين </w:t>
      </w:r>
      <w:r w:rsidR="000A0753" w:rsidRPr="000A0753"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  <w:t>طرفين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(المستأجر والمؤجر) </w:t>
      </w:r>
      <w:r w:rsidR="000A0753" w:rsidRPr="000A0753"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  <w:t>ويترتب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علیه الآتي:</w:t>
      </w:r>
    </w:p>
    <w:p w:rsidR="00951C5D" w:rsidRPr="000A0753" w:rsidRDefault="004B0431" w:rsidP="00951C5D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يلتزم بموجبه المستأجر (طرف أول) بدفع مبالغ محدده بتواريخ متفق علیھا للمؤجر (طرف ثاني) وھو المالك لأصل من الأصول.</w:t>
      </w:r>
    </w:p>
    <w:p w:rsidR="004B0431" w:rsidRPr="000A0753" w:rsidRDefault="004B0431" w:rsidP="00951C5D">
      <w:pPr>
        <w:pStyle w:val="a3"/>
        <w:numPr>
          <w:ilvl w:val="0"/>
          <w:numId w:val="2"/>
        </w:numPr>
        <w:rPr>
          <w:rFonts w:ascii="Arabic Typesetting" w:hAnsi="Arabic Typesetting" w:cs="Arabic Typesetting"/>
          <w:color w:val="7F7F7F" w:themeColor="text1" w:themeTint="80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ینتفع الطرف الأول بالخدمات التي یقدمھا الأصل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.</w:t>
      </w:r>
    </w:p>
    <w:p w:rsidR="00951C5D" w:rsidRPr="000A0753" w:rsidRDefault="00951C5D" w:rsidP="00951C5D">
      <w:pPr>
        <w:rPr>
          <w:rFonts w:ascii="Arabic Typesetting" w:hAnsi="Arabic Typesetting" w:cs="Arabic Typesetting"/>
          <w:color w:val="CC0099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 xml:space="preserve">اهم بنود عقد الايجار </w:t>
      </w:r>
    </w:p>
    <w:p w:rsidR="00951C5D" w:rsidRPr="000A0753" w:rsidRDefault="00951C5D" w:rsidP="00951C5D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المدة الأساسية للعقد التي لا يمكن خلالها إلغاؤه.</w:t>
      </w:r>
    </w:p>
    <w:p w:rsidR="00951C5D" w:rsidRPr="000A0753" w:rsidRDefault="00951C5D" w:rsidP="00951C5D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قيمة دفعة الإيجار الدورية</w:t>
      </w:r>
    </w:p>
    <w:p w:rsidR="00951C5D" w:rsidRPr="000A0753" w:rsidRDefault="00951C5D" w:rsidP="00951C5D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تاريخ الدفع.</w:t>
      </w:r>
    </w:p>
    <w:p w:rsidR="00951C5D" w:rsidRPr="000A0753" w:rsidRDefault="00951C5D" w:rsidP="00951C5D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إمكانية تجديد العقد أو شراء الأصل في نهاية مدة العقد.</w:t>
      </w:r>
    </w:p>
    <w:p w:rsidR="00951C5D" w:rsidRPr="000A0753" w:rsidRDefault="00951C5D" w:rsidP="00951C5D">
      <w:pPr>
        <w:pStyle w:val="a3"/>
        <w:numPr>
          <w:ilvl w:val="0"/>
          <w:numId w:val="3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الجهة التي تتحمل صيانة الأصل.</w:t>
      </w:r>
    </w:p>
    <w:p w:rsidR="00951C5D" w:rsidRPr="000A0753" w:rsidRDefault="00951C5D" w:rsidP="00951C5D">
      <w:pPr>
        <w:rPr>
          <w:rFonts w:ascii="Arabic Typesetting" w:hAnsi="Arabic Typesetting" w:cs="Arabic Typesetting"/>
          <w:color w:val="CC0099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>لعقود الاستئجار أنواع عدة أهمها:</w:t>
      </w:r>
    </w:p>
    <w:p w:rsidR="00951C5D" w:rsidRPr="000A0753" w:rsidRDefault="000A0753" w:rsidP="00951C5D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لاستئجار</w:t>
      </w:r>
      <w:r w:rsidR="00951C5D"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التمويلي</w:t>
      </w:r>
    </w:p>
    <w:p w:rsidR="00951C5D" w:rsidRPr="000A0753" w:rsidRDefault="000A0753" w:rsidP="00951C5D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="00951C5D"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التشغيلي</w:t>
      </w:r>
    </w:p>
    <w:p w:rsidR="00951C5D" w:rsidRPr="000A0753" w:rsidRDefault="00951C5D" w:rsidP="00951C5D">
      <w:pPr>
        <w:pStyle w:val="a3"/>
        <w:numPr>
          <w:ilvl w:val="0"/>
          <w:numId w:val="4"/>
        </w:num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المقرون أو المرتبط برافعة التمویل.</w:t>
      </w:r>
    </w:p>
    <w:p w:rsidR="00951C5D" w:rsidRDefault="00951C5D" w:rsidP="00951C5D">
      <w:pPr>
        <w:tabs>
          <w:tab w:val="left" w:pos="2429"/>
        </w:tabs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فيما يلي شرح للأنواع الثلاثة..</w:t>
      </w:r>
    </w:p>
    <w:p w:rsidR="002A4BA9" w:rsidRPr="000A0753" w:rsidRDefault="002A4BA9" w:rsidP="00951C5D">
      <w:pPr>
        <w:tabs>
          <w:tab w:val="left" w:pos="2429"/>
        </w:tabs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</w:p>
    <w:p w:rsidR="00951C5D" w:rsidRPr="000A0753" w:rsidRDefault="00951C5D" w:rsidP="00951C5D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color w:val="0000FF"/>
          <w:sz w:val="28"/>
          <w:szCs w:val="28"/>
          <w:u w:val="single"/>
        </w:rPr>
      </w:pPr>
      <w:r w:rsidRPr="000A0753">
        <w:rPr>
          <w:rFonts w:ascii="Arabic Typesetting" w:hAnsi="Arabic Typesetting" w:cs="Arabic Typesetting"/>
          <w:color w:val="0000FF"/>
          <w:sz w:val="28"/>
          <w:szCs w:val="28"/>
          <w:u w:val="single"/>
          <w:rtl/>
        </w:rPr>
        <w:lastRenderedPageBreak/>
        <w:t xml:space="preserve">الاستئجار التمويلي </w:t>
      </w:r>
    </w:p>
    <w:p w:rsidR="002A4BA9" w:rsidRDefault="00951C5D" w:rsidP="002A4BA9">
      <w:pPr>
        <w:ind w:left="360"/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یمثل ھذا النوع من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عقدا بین المستأجر والمؤجر یلتزم بموجبه المستأجر بدفع أقساط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مالیه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للمؤجر نظیر استخدامه للأصل، بحیث یكون مجموع ھذه الأقساط المالیة یغطي قیمة الأصل بالإضافة إلى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تحقيق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عائد مناسب للمؤجر.</w:t>
      </w:r>
    </w:p>
    <w:p w:rsidR="00951C5D" w:rsidRPr="002A4BA9" w:rsidRDefault="00951C5D" w:rsidP="002A4BA9">
      <w:pPr>
        <w:ind w:left="360"/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>خصائص الاستئجار التمويلي</w:t>
      </w:r>
    </w:p>
    <w:p w:rsidR="00951C5D" w:rsidRPr="000A0753" w:rsidRDefault="00951C5D" w:rsidP="00951C5D">
      <w:pPr>
        <w:pStyle w:val="a3"/>
        <w:numPr>
          <w:ilvl w:val="0"/>
          <w:numId w:val="6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لا یمكن إلغاؤه، وإذا أراد المستأجر فعل ذلك، فعلیه أن یدفع ما تبقى من قیمة العقد دفعة واحدة، وإذا تخلف المستأجر عن السداد فإن ذلك من شأنه أن یؤدي إلى إفلاسه.</w:t>
      </w:r>
    </w:p>
    <w:p w:rsidR="00951C5D" w:rsidRDefault="00951C5D" w:rsidP="00951C5D">
      <w:pPr>
        <w:pStyle w:val="a3"/>
        <w:numPr>
          <w:ilvl w:val="0"/>
          <w:numId w:val="6"/>
        </w:numPr>
        <w:rPr>
          <w:rFonts w:ascii="Arabic Typesetting" w:hAnsi="Arabic Typesetting" w:cs="Arabic Typesetting" w:hint="cs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یتحمل المستأجر صيانة الأصل.</w:t>
      </w:r>
    </w:p>
    <w:p w:rsidR="00485142" w:rsidRPr="00485142" w:rsidRDefault="00485142" w:rsidP="00485142">
      <w:pPr>
        <w:rPr>
          <w:rFonts w:ascii="Arabic Typesetting" w:hAnsi="Arabic Typesetting" w:cs="Arabic Typesetting" w:hint="cs"/>
          <w:color w:val="FF7C80"/>
          <w:sz w:val="28"/>
          <w:szCs w:val="28"/>
          <w:rtl/>
        </w:rPr>
      </w:pPr>
      <w:r w:rsidRPr="00485142">
        <w:rPr>
          <w:rFonts w:ascii="Arabic Typesetting" w:hAnsi="Arabic Typesetting" w:cs="Arabic Typesetting" w:hint="cs"/>
          <w:color w:val="FF7C80"/>
          <w:sz w:val="28"/>
          <w:szCs w:val="28"/>
          <w:rtl/>
        </w:rPr>
        <w:t>انواع الاستئجار التمويلي</w:t>
      </w:r>
    </w:p>
    <w:p w:rsidR="00485142" w:rsidRPr="00485142" w:rsidRDefault="00485142" w:rsidP="00485142">
      <w:pPr>
        <w:pStyle w:val="a3"/>
        <w:numPr>
          <w:ilvl w:val="0"/>
          <w:numId w:val="27"/>
        </w:numPr>
        <w:rPr>
          <w:rFonts w:ascii="Arabic Typesetting" w:hAnsi="Arabic Typesetting" w:cs="Arabic Typesetting"/>
          <w:color w:val="00B050"/>
          <w:sz w:val="28"/>
          <w:szCs w:val="28"/>
          <w:rtl/>
        </w:rPr>
      </w:pP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الاستئجار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عن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طريق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بيع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الأصل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ومن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ثم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إعادة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استئجار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هذا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B050"/>
          <w:sz w:val="28"/>
          <w:szCs w:val="28"/>
          <w:rtl/>
        </w:rPr>
        <w:t>الأصل</w:t>
      </w:r>
      <w:r w:rsidRPr="00485142">
        <w:rPr>
          <w:rFonts w:ascii="Arabic Typesetting" w:hAnsi="Arabic Typesetting" w:cs="Arabic Typesetting"/>
          <w:color w:val="00B050"/>
          <w:sz w:val="28"/>
          <w:szCs w:val="28"/>
          <w:rtl/>
        </w:rPr>
        <w:t>:</w:t>
      </w:r>
    </w:p>
    <w:p w:rsidR="00485142" w:rsidRPr="00485142" w:rsidRDefault="00485142" w:rsidP="00485142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تقوم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شركة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ببيع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إحدى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أصولها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إلى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مؤسسة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أخرى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بسعر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سوقي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عادل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یتفق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علیه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وتستلم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المبلغ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نقدا،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وفي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نفس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الوقت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تقوم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بإستئجار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نفس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الأصل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من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الجھة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المشتریة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للأصل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. 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ومن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خصائص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هذه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الطريقة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:</w:t>
      </w:r>
    </w:p>
    <w:p w:rsidR="00485142" w:rsidRPr="00485142" w:rsidRDefault="00485142" w:rsidP="00485142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دفعات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الإیجار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ستغطي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سعر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الأصل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المدفوع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علاوة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على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تحقیق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عائد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مناسب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للمؤجر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.</w:t>
      </w:r>
    </w:p>
    <w:p w:rsidR="00485142" w:rsidRPr="00485142" w:rsidRDefault="00485142" w:rsidP="00485142">
      <w:p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یوفر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ھذا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النوع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من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سیولة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معتبرة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للشركة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یمكنھا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أن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تمول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بھا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استثماراتھا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أو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تسديد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Pr="00485142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دیونها</w:t>
      </w:r>
      <w:r w:rsidRPr="00485142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.</w:t>
      </w:r>
    </w:p>
    <w:p w:rsidR="00951C5D" w:rsidRPr="00485142" w:rsidRDefault="00485142" w:rsidP="00485142">
      <w:pPr>
        <w:pStyle w:val="a3"/>
        <w:numPr>
          <w:ilvl w:val="0"/>
          <w:numId w:val="26"/>
        </w:numPr>
        <w:rPr>
          <w:rFonts w:ascii="Arabic Typesetting" w:hAnsi="Arabic Typesetting" w:cs="Arabic Typesetting"/>
          <w:color w:val="00B050"/>
          <w:sz w:val="28"/>
          <w:szCs w:val="28"/>
          <w:u w:val="single"/>
          <w:rtl/>
        </w:rPr>
      </w:pPr>
      <w:r w:rsidRPr="00485142">
        <w:rPr>
          <w:rFonts w:ascii="Arabic Typesetting" w:hAnsi="Arabic Typesetting" w:cs="Arabic Typesetting" w:hint="cs"/>
          <w:color w:val="00B050"/>
          <w:sz w:val="28"/>
          <w:szCs w:val="28"/>
          <w:u w:val="single"/>
          <w:rtl/>
        </w:rPr>
        <w:t>ال</w:t>
      </w:r>
      <w:r w:rsidR="00951C5D" w:rsidRPr="00485142">
        <w:rPr>
          <w:rFonts w:ascii="Arabic Typesetting" w:hAnsi="Arabic Typesetting" w:cs="Arabic Typesetting"/>
          <w:color w:val="00B050"/>
          <w:sz w:val="28"/>
          <w:szCs w:val="28"/>
          <w:u w:val="single"/>
          <w:rtl/>
        </w:rPr>
        <w:t xml:space="preserve">استئجار المباشر </w:t>
      </w:r>
    </w:p>
    <w:p w:rsidR="00951C5D" w:rsidRPr="000A0753" w:rsidRDefault="00951C5D" w:rsidP="00951C5D">
      <w:pPr>
        <w:ind w:left="360"/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یسمح ھذا النوع من الاستئجار للمنشأة بالحصول على أصل لا تملكه </w:t>
      </w: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>حیث: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تقوم المنشأة بتحدید الأصل الذي ترغب في الحصول علیه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تتفق مع المالك على السعر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وتاريخ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التسليم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تقوم المنشأة بترتيبات مع مؤسسة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تمويلية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(البنك مثلا) تتولى شراء الأصل من المالك الرئیسي.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تقوم المنشأة في نفس الوقت بتوقیع عقد استئجار مع المؤسسة التمویلیة 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وفقا لھذا العقد ینبغي على المنشأة المستأجرة دفع كامل قیمة الأصل مضافا إليه عائد مناسب للمؤجر.</w:t>
      </w:r>
    </w:p>
    <w:p w:rsidR="00951C5D" w:rsidRPr="000A0753" w:rsidRDefault="00951C5D" w:rsidP="00951C5D">
      <w:pPr>
        <w:pStyle w:val="a3"/>
        <w:numPr>
          <w:ilvl w:val="0"/>
          <w:numId w:val="8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یتحمل المستأجر كافة نفقات التأمين والصيانة والضرائب.</w:t>
      </w:r>
    </w:p>
    <w:p w:rsidR="00951C5D" w:rsidRPr="000A0753" w:rsidRDefault="00951C5D" w:rsidP="00951C5D">
      <w:pPr>
        <w:pStyle w:val="a3"/>
        <w:numPr>
          <w:ilvl w:val="0"/>
          <w:numId w:val="10"/>
        </w:numPr>
        <w:rPr>
          <w:rFonts w:ascii="Arabic Typesetting" w:hAnsi="Arabic Typesetting" w:cs="Arabic Typesetting"/>
          <w:color w:val="0000FF"/>
          <w:sz w:val="28"/>
          <w:szCs w:val="28"/>
          <w:u w:val="single"/>
        </w:rPr>
      </w:pPr>
      <w:r w:rsidRPr="000A0753">
        <w:rPr>
          <w:rFonts w:ascii="Arabic Typesetting" w:hAnsi="Arabic Typesetting" w:cs="Arabic Typesetting"/>
          <w:color w:val="0000FF"/>
          <w:sz w:val="28"/>
          <w:szCs w:val="28"/>
          <w:u w:val="single"/>
          <w:rtl/>
        </w:rPr>
        <w:t xml:space="preserve">الاستئجار التشغيلي </w:t>
      </w:r>
    </w:p>
    <w:p w:rsidR="00951C5D" w:rsidRDefault="00951C5D" w:rsidP="00951C5D">
      <w:pPr>
        <w:ind w:left="720"/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یطلق علیه أحيانا عقد استئجار الخدمات، لأنه یرتبط أساسا باستئجار التجھیزات والخدمات مثل السیارات وماكینات التصویر والحاسبات الآلیة. ووفقا لھذا النوع من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، یقدم المؤجر الخدمة المطلوبة بما في ذلك تكالیف الصیانة الدوریة والتأمین والضرائب وذلك مقابل دفعات سنویة یدفعھا المستأجر للمؤجر نظیر الانتفاع بخدمة الأصل.</w:t>
      </w:r>
    </w:p>
    <w:p w:rsidR="00485142" w:rsidRDefault="00485142" w:rsidP="00951C5D">
      <w:pPr>
        <w:ind w:left="720"/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</w:pPr>
    </w:p>
    <w:p w:rsidR="00485142" w:rsidRDefault="00485142" w:rsidP="00951C5D">
      <w:pPr>
        <w:ind w:left="720"/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</w:pPr>
    </w:p>
    <w:p w:rsidR="00485142" w:rsidRPr="000A0753" w:rsidRDefault="00485142" w:rsidP="00951C5D">
      <w:pPr>
        <w:ind w:left="720"/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</w:p>
    <w:p w:rsidR="00951C5D" w:rsidRPr="000A0753" w:rsidRDefault="00951C5D" w:rsidP="00951C5D">
      <w:pPr>
        <w:ind w:left="720"/>
        <w:rPr>
          <w:rFonts w:ascii="Arabic Typesetting" w:hAnsi="Arabic Typesetting" w:cs="Arabic Typesetting"/>
          <w:color w:val="FF505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lastRenderedPageBreak/>
        <w:t xml:space="preserve">خصائص الاستئجار التشغيلي </w:t>
      </w:r>
    </w:p>
    <w:p w:rsidR="00951C5D" w:rsidRPr="000A0753" w:rsidRDefault="00951C5D" w:rsidP="00951C5D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تكون مدة العقد أقل من العمر الاقتصادي للأصل</w:t>
      </w:r>
    </w:p>
    <w:p w:rsidR="00951C5D" w:rsidRPr="000A0753" w:rsidRDefault="00951C5D" w:rsidP="00951C5D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على المؤجر تكرار تأجير الأصل لنفس المستأجر لغیره حتى یتمكن من تغطیة تكلفة الأصل وتحقیق عائد مناسب.</w:t>
      </w:r>
    </w:p>
    <w:p w:rsidR="00951C5D" w:rsidRPr="000A0753" w:rsidRDefault="00951C5D" w:rsidP="00951C5D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قد یشمل العقد بندا یمنح المستأجر إلغاء العقد قبل نھایته بعد منح المؤجر فترة إنذار وقد یترتب على إلغاء العقد بعض التكالیف المتمثلة في الجزاءات أو الغرامات.</w:t>
      </w:r>
    </w:p>
    <w:p w:rsidR="00951C5D" w:rsidRPr="000A0753" w:rsidRDefault="00951C5D" w:rsidP="00951C5D">
      <w:pPr>
        <w:pStyle w:val="a3"/>
        <w:numPr>
          <w:ilvl w:val="0"/>
          <w:numId w:val="12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تتیح إمكانیة إلغاء العقد للمستأجر فرصة البحث عن أصل أكثر حداثة وكفاءة، وأيضا فرصة التخلص من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الاستئجار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في حالة تدھور النشاط الاقتصادي للمنشأة.</w:t>
      </w:r>
    </w:p>
    <w:p w:rsidR="00951C5D" w:rsidRPr="00485142" w:rsidRDefault="00951C5D" w:rsidP="00485142">
      <w:pPr>
        <w:pStyle w:val="a3"/>
        <w:numPr>
          <w:ilvl w:val="0"/>
          <w:numId w:val="28"/>
        </w:numPr>
        <w:rPr>
          <w:rFonts w:ascii="Arabic Typesetting" w:hAnsi="Arabic Typesetting" w:cs="Arabic Typesetting"/>
          <w:color w:val="0033CC"/>
          <w:sz w:val="28"/>
          <w:szCs w:val="28"/>
          <w:u w:val="single"/>
          <w:rtl/>
        </w:rPr>
      </w:pPr>
      <w:r w:rsidRPr="00485142">
        <w:rPr>
          <w:rFonts w:ascii="Arabic Typesetting" w:hAnsi="Arabic Typesetting" w:cs="Arabic Typesetting"/>
          <w:color w:val="0033CC"/>
          <w:sz w:val="28"/>
          <w:szCs w:val="28"/>
          <w:u w:val="single"/>
          <w:rtl/>
        </w:rPr>
        <w:t>الاستئجار المرتبط برافعه مالية :</w:t>
      </w:r>
    </w:p>
    <w:p w:rsidR="00951C5D" w:rsidRPr="000A0753" w:rsidRDefault="00951C5D" w:rsidP="00951C5D">
      <w:pPr>
        <w:ind w:left="360"/>
        <w:rPr>
          <w:rFonts w:ascii="Arabic Typesetting" w:hAnsi="Arabic Typesetting" w:cs="Arabic Typesetting"/>
          <w:color w:val="CC0099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>یوجد في ھذا النوع من التمویل ثلاثة أطراف:</w:t>
      </w:r>
    </w:p>
    <w:p w:rsidR="003C66D1" w:rsidRPr="000A0753" w:rsidRDefault="00951C5D" w:rsidP="003C66D1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المؤجر صاحب الأصل</w:t>
      </w:r>
    </w:p>
    <w:p w:rsidR="003C66D1" w:rsidRPr="000A0753" w:rsidRDefault="00951C5D" w:rsidP="003C66D1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المستأجر</w:t>
      </w:r>
    </w:p>
    <w:p w:rsidR="00951C5D" w:rsidRPr="000A0753" w:rsidRDefault="00951C5D" w:rsidP="003C66D1">
      <w:pPr>
        <w:pStyle w:val="a3"/>
        <w:numPr>
          <w:ilvl w:val="0"/>
          <w:numId w:val="14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ومؤسس التمويل</w:t>
      </w:r>
    </w:p>
    <w:p w:rsidR="003C66D1" w:rsidRPr="000A0753" w:rsidRDefault="003C66D1" w:rsidP="003C66D1">
      <w:pPr>
        <w:ind w:left="360"/>
        <w:rPr>
          <w:rFonts w:ascii="Arabic Typesetting" w:hAnsi="Arabic Typesetting" w:cs="Arabic Typesetting"/>
          <w:color w:val="FF5050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u w:val="single"/>
          <w:rtl/>
        </w:rPr>
        <w:t>اجراءات الاستئجار المرتبط برافعة التمويل</w:t>
      </w:r>
    </w:p>
    <w:p w:rsidR="003C66D1" w:rsidRPr="000A0753" w:rsidRDefault="003C66D1" w:rsidP="003C66D1">
      <w:pPr>
        <w:ind w:left="360"/>
        <w:rPr>
          <w:rFonts w:ascii="Arabic Typesetting" w:hAnsi="Arabic Typesetting" w:cs="Arabic Typesetting"/>
          <w:color w:val="00990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یتم عقد الاستئجار المرتبط برافعة التمويل على النحو التالي:</w:t>
      </w:r>
    </w:p>
    <w:p w:rsidR="003C66D1" w:rsidRPr="000A0753" w:rsidRDefault="003C66D1" w:rsidP="003C66D1">
      <w:pPr>
        <w:pStyle w:val="a3"/>
        <w:numPr>
          <w:ilvl w:val="0"/>
          <w:numId w:val="5"/>
        </w:num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یحدد المستأجر الأصل الذي یود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الانتفاع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بخدماته.</w:t>
      </w:r>
    </w:p>
    <w:p w:rsidR="003C66D1" w:rsidRPr="000A0753" w:rsidRDefault="003C66D1" w:rsidP="003C66D1">
      <w:pPr>
        <w:pStyle w:val="a3"/>
        <w:numPr>
          <w:ilvl w:val="0"/>
          <w:numId w:val="7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یقوم المؤجر بشراء الأصل ویموله جزئیا من أمواله الخاصة.</w:t>
      </w:r>
    </w:p>
    <w:p w:rsidR="003C66D1" w:rsidRPr="002A4BA9" w:rsidRDefault="003C66D1" w:rsidP="002A4BA9">
      <w:pPr>
        <w:pStyle w:val="a3"/>
        <w:numPr>
          <w:ilvl w:val="0"/>
          <w:numId w:val="15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یتم تمویل الباقي عن طریق مؤسسة </w:t>
      </w:r>
      <w:r w:rsidR="000A0753" w:rsidRPr="000A0753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>تمويلية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(بنك أو جھة أخرى) برھن الأصول المشتراة</w:t>
      </w:r>
    </w:p>
    <w:p w:rsidR="003C66D1" w:rsidRPr="000A0753" w:rsidRDefault="003C66D1" w:rsidP="003C66D1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9900CC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9900CC"/>
          <w:sz w:val="28"/>
          <w:szCs w:val="28"/>
          <w:u w:val="single"/>
          <w:rtl/>
        </w:rPr>
        <w:t>مزايا التمويل بالاستئجار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المرونة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: حیث یمكن تبدیل الأصل في حالة استئجار الخدمة أو تبدیل المكان في حالة العقار.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الوفر الضريبي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: إذ أن دفعات الإيجار تخصم من الأرباح قبل الضریبة وبالتالي فھي تخفف العبء الضریبي.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تمويل رأس المال العامل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: یمكن أن تستخدم الأموال المتوفرة عن طریق الاستئجار في تمویل رأس المال العامل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 xml:space="preserve">تحسين صورة الشركة: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فالأصول المستأجرة لا تظھر ضمن بنود المیزانیة وبالتالي قد یكون لھا دور إیجابي في التحلیل المالي باستخدام النسب المالیة خاصة نسب النشاط والربحیة والمدیونیة.</w:t>
      </w:r>
    </w:p>
    <w:p w:rsidR="003C66D1" w:rsidRPr="000A0753" w:rsidRDefault="003C66D1" w:rsidP="003C66D1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9900CC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9900CC"/>
          <w:sz w:val="28"/>
          <w:szCs w:val="28"/>
          <w:u w:val="single"/>
          <w:rtl/>
        </w:rPr>
        <w:t>سلبيات التمويل بالاستئجار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الاستئجار یكون لفترة محدودة، فإذا رغبت المنشأة في الاستمرار في الاستئجار فقد تضطر إلى زيادة قسط الإيجار.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تكلفة الفوائد على بعض عقود الاستئجار أكبر من تكلفة الاقتراض المباشر.</w:t>
      </w:r>
    </w:p>
    <w:p w:rsidR="003C66D1" w:rsidRDefault="003C66D1" w:rsidP="003C66D1">
      <w:pPr>
        <w:pStyle w:val="a3"/>
        <w:numPr>
          <w:ilvl w:val="0"/>
          <w:numId w:val="17"/>
        </w:numPr>
        <w:rPr>
          <w:rFonts w:ascii="Arabic Typesetting" w:hAnsi="Arabic Typesetting" w:cs="Arabic Typesetting" w:hint="cs"/>
          <w:color w:val="0070C0"/>
          <w:sz w:val="28"/>
          <w:szCs w:val="28"/>
        </w:rPr>
      </w:pPr>
      <w:r w:rsidRPr="000A0753">
        <w:rPr>
          <w:rFonts w:ascii="Arabic Typesetting" w:hAnsi="Arabic Typesetting" w:cs="Arabic Typesetting"/>
          <w:color w:val="0070C0"/>
          <w:sz w:val="28"/>
          <w:szCs w:val="28"/>
          <w:rtl/>
        </w:rPr>
        <w:t>وعلى الرغم من سلبيات الإيجار المذكورة سابقا، إلا أن مزايا التمويل عن طريق الاستئجار تفوق العيوب المذكورة.</w:t>
      </w:r>
    </w:p>
    <w:p w:rsidR="00485142" w:rsidRPr="00485142" w:rsidRDefault="00485142" w:rsidP="00485142">
      <w:pPr>
        <w:rPr>
          <w:rFonts w:ascii="Arabic Typesetting" w:hAnsi="Arabic Typesetting" w:cs="Arabic Typesetting"/>
          <w:color w:val="0070C0"/>
          <w:sz w:val="28"/>
          <w:szCs w:val="28"/>
          <w:rtl/>
        </w:rPr>
      </w:pP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lastRenderedPageBreak/>
        <w:t>ولعل ما يشغل بال المنشآت التي التجأ إلى استخدام الاستئجار هو معرفة ما يلي: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(أيهما أفضل الاستئجار أو الاقتراض؟ وما تكلفة كل بديل؟ في حالة الاستئجار كيف يمكن تحديد قيمة دفعة الإيجار؟)</w:t>
      </w:r>
    </w:p>
    <w:p w:rsidR="003C66D1" w:rsidRPr="002A4BA9" w:rsidRDefault="003C66D1" w:rsidP="002A4BA9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</w:pPr>
      <w:r w:rsidRPr="002A4BA9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>القروض المصرفية ::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FF505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ماهيه القروض المصرفية متوسطة و طويلة الاجل /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یمثل الإقتراض متوسط وطویل الأجل مدیونیة على المنشأة یجب الإلتزام بھا وسدادھا.</w:t>
      </w: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 ,,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تحصل المنشأة على ھذه القروض من المؤسسات المالیة كالبنوك وشركات التأمین وصنادیق الاستثمار </w:t>
      </w: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,,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تستحق ھذه القروض في مدة قد تصل إلى 20 عاما.</w:t>
      </w: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 ,,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وعادة ما یتم الإتفاق حول شروط القرض بین المنشأة والمؤسسة المالیة المانحة للقرض</w:t>
      </w:r>
    </w:p>
    <w:p w:rsidR="003C66D1" w:rsidRPr="000A0753" w:rsidRDefault="003C66D1" w:rsidP="003C66D1">
      <w:pPr>
        <w:rPr>
          <w:rFonts w:ascii="Arabic Typesetting" w:hAnsi="Arabic Typesetting" w:cs="Arabic Typesetting"/>
          <w:color w:val="FF505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>وتتضمن اتفاقية القرض، العناصر التالية:</w:t>
      </w:r>
    </w:p>
    <w:p w:rsidR="00C07700" w:rsidRPr="000A0753" w:rsidRDefault="003C66D1" w:rsidP="00C07700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فترة استحقاق القرض.</w:t>
      </w:r>
    </w:p>
    <w:p w:rsidR="00C07700" w:rsidRPr="000A0753" w:rsidRDefault="003C66D1" w:rsidP="00C07700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سعر فائدة القرض.</w:t>
      </w:r>
    </w:p>
    <w:p w:rsidR="002A4BA9" w:rsidRDefault="003C66D1" w:rsidP="00485142">
      <w:pPr>
        <w:pStyle w:val="a3"/>
        <w:numPr>
          <w:ilvl w:val="0"/>
          <w:numId w:val="18"/>
        </w:numPr>
        <w:rPr>
          <w:rFonts w:ascii="Arabic Typesetting" w:hAnsi="Arabic Typesetting" w:cs="Arabic Typesetting" w:hint="cs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طريقة سداد القرضِ.</w:t>
      </w:r>
    </w:p>
    <w:p w:rsidR="007F6ABE" w:rsidRPr="007F6ABE" w:rsidRDefault="007F6ABE" w:rsidP="007F6ABE">
      <w:pPr>
        <w:ind w:left="360"/>
        <w:rPr>
          <w:rFonts w:ascii="Arabic Typesetting" w:hAnsi="Arabic Typesetting" w:cs="Arabic Typesetting" w:hint="cs"/>
          <w:color w:val="FF7C80"/>
          <w:sz w:val="28"/>
          <w:szCs w:val="28"/>
          <w:rtl/>
        </w:rPr>
      </w:pPr>
      <w:r w:rsidRPr="007F6ABE">
        <w:rPr>
          <w:rFonts w:ascii="Arabic Typesetting" w:hAnsi="Arabic Typesetting" w:cs="Arabic Typesetting" w:hint="cs"/>
          <w:color w:val="FF7C80"/>
          <w:sz w:val="28"/>
          <w:szCs w:val="28"/>
          <w:rtl/>
        </w:rPr>
        <w:t>طرق سداد القروض المصرفية :</w:t>
      </w:r>
    </w:p>
    <w:p w:rsidR="007F6ABE" w:rsidRDefault="007F6ABE" w:rsidP="007F6ABE">
      <w:pPr>
        <w:pStyle w:val="a3"/>
        <w:numPr>
          <w:ilvl w:val="0"/>
          <w:numId w:val="18"/>
        </w:numPr>
        <w:rPr>
          <w:rFonts w:ascii="Arabic Typesetting" w:hAnsi="Arabic Typesetting" w:cs="Arabic Typesetting" w:hint="cs"/>
          <w:sz w:val="28"/>
          <w:szCs w:val="28"/>
        </w:rPr>
      </w:pP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سداد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القرض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دفعة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واحدة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في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نهاية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فترة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الاستحقاق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>.</w:t>
      </w:r>
    </w:p>
    <w:p w:rsidR="007F6ABE" w:rsidRPr="007F6ABE" w:rsidRDefault="007F6ABE" w:rsidP="007F6ABE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sz w:val="28"/>
          <w:szCs w:val="28"/>
        </w:rPr>
      </w:pP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سداد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القرض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على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أقساط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متساوية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في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تواريخ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محددة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(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يتم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حساب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قيمة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القسط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متضمنا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أصل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القرض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7F6ABE">
        <w:rPr>
          <w:rFonts w:ascii="Arabic Typesetting" w:hAnsi="Arabic Typesetting" w:cs="Arabic Typesetting" w:hint="cs"/>
          <w:sz w:val="28"/>
          <w:szCs w:val="28"/>
          <w:rtl/>
        </w:rPr>
        <w:t>والفوائد</w:t>
      </w:r>
      <w:r w:rsidRPr="007F6ABE">
        <w:rPr>
          <w:rFonts w:ascii="Arabic Typesetting" w:hAnsi="Arabic Typesetting" w:cs="Arabic Typesetting"/>
          <w:sz w:val="28"/>
          <w:szCs w:val="28"/>
          <w:rtl/>
        </w:rPr>
        <w:t>).</w:t>
      </w:r>
    </w:p>
    <w:p w:rsidR="00C07700" w:rsidRPr="002A4BA9" w:rsidRDefault="00C07700" w:rsidP="002A4BA9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</w:pPr>
      <w:r w:rsidRPr="002A4BA9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>السندات ::</w:t>
      </w:r>
    </w:p>
    <w:p w:rsidR="00C07700" w:rsidRPr="000A0753" w:rsidRDefault="00C07700" w:rsidP="00C07700">
      <w:pPr>
        <w:ind w:left="360"/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 xml:space="preserve">ماهيه السندات 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/ السند هو شهادة دين يتعهد مصدرها بدفع قيمة الدين (القرض) كاملة لحامل السند في تاريخ محدد بالإضافة إلى الفوائد الدورية (سنوية أو نصف سنوية).</w:t>
      </w:r>
    </w:p>
    <w:p w:rsidR="00C07700" w:rsidRPr="000A0753" w:rsidRDefault="00C07700" w:rsidP="00C07700">
      <w:pPr>
        <w:ind w:left="360"/>
        <w:rPr>
          <w:rFonts w:ascii="Arabic Typesetting" w:hAnsi="Arabic Typesetting" w:cs="Arabic Typesetting"/>
          <w:color w:val="CC0099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rtl/>
        </w:rPr>
        <w:t>ويمكن تصنيف السندات إلى:</w:t>
      </w:r>
    </w:p>
    <w:p w:rsidR="00C07700" w:rsidRPr="000A0753" w:rsidRDefault="00C07700" w:rsidP="00C07700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السندات المضمونة والسندات غير المضمونة</w:t>
      </w:r>
    </w:p>
    <w:p w:rsidR="00C07700" w:rsidRPr="000A0753" w:rsidRDefault="00C07700" w:rsidP="00C07700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السندات القابلة للاستدعاء وغير القابلة للاستدعاء</w:t>
      </w:r>
    </w:p>
    <w:p w:rsidR="00C07700" w:rsidRPr="000A0753" w:rsidRDefault="00C07700" w:rsidP="00C07700">
      <w:pPr>
        <w:pStyle w:val="a3"/>
        <w:numPr>
          <w:ilvl w:val="0"/>
          <w:numId w:val="19"/>
        </w:numPr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السندات القابلة للتحويل والسندات غير القابلة للتحويل</w:t>
      </w:r>
    </w:p>
    <w:p w:rsidR="00C07700" w:rsidRPr="000A0753" w:rsidRDefault="00C07700" w:rsidP="00C07700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تتراوح فترات استحقاق السند بين القصيرة ( من سنة إلى 5 سنوات) والمتوسطة من ( 5 إلى 10 سنوات) والطويلة (10 سنوات فأكثر)</w:t>
      </w:r>
    </w:p>
    <w:p w:rsidR="003C66D1" w:rsidRPr="000A0753" w:rsidRDefault="00C07700" w:rsidP="00C07700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تصدر السندات بقیمة اسمیة </w:t>
      </w:r>
      <w:r w:rsidR="000A0753" w:rsidRPr="000A0753"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  <w:t>وتاريخ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استحقاق محدد، وعندما یحین تاریخ الإستحقاق تقوم الجهة المصدرة للسند برد قیمة السندات لحامليھا (رد القيمة الاسمية).</w:t>
      </w:r>
    </w:p>
    <w:p w:rsidR="00C07700" w:rsidRPr="000A0753" w:rsidRDefault="00C07700" w:rsidP="00C07700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CC0099"/>
          <w:sz w:val="28"/>
          <w:szCs w:val="28"/>
          <w:u w:val="single"/>
          <w:rtl/>
        </w:rPr>
        <w:t>قيمه السند</w:t>
      </w:r>
    </w:p>
    <w:p w:rsidR="00C07700" w:rsidRPr="000A0753" w:rsidRDefault="00C07700" w:rsidP="00C07700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القيمة الاسمية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: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وهي القيمة التي يصدر بها السند وهي ذات القيمة التي يقوم مصدر السند بإرجاعها لحامل السند عند تاريخ الاستحقاق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.</w:t>
      </w:r>
    </w:p>
    <w:p w:rsidR="00C07700" w:rsidRDefault="00C07700" w:rsidP="00C07700">
      <w:pPr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rtl/>
        </w:rPr>
        <w:t>القيمة السوقية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: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هي قيمة السند في السوق، وقد تكون أكبر أو أقل من القيمة الاسمية، وتعتمد قيمتها أساسا على سعر الكوبون ومعدل العائد المطلوب من المستثمرين:</w:t>
      </w:r>
    </w:p>
    <w:p w:rsidR="007E14AC" w:rsidRPr="007E14AC" w:rsidRDefault="007E14AC" w:rsidP="00C07700">
      <w:pPr>
        <w:rPr>
          <w:rFonts w:ascii="Arabic Typesetting" w:hAnsi="Arabic Typesetting" w:cs="Arabic Typesetting"/>
          <w:color w:val="0F243E" w:themeColor="text2" w:themeShade="80"/>
          <w:sz w:val="28"/>
          <w:szCs w:val="28"/>
          <w:rtl/>
        </w:rPr>
      </w:pPr>
      <w:r w:rsidRPr="007E14AC">
        <w:rPr>
          <w:rFonts w:ascii="Arabic Typesetting" w:hAnsi="Arabic Typesetting" w:cs="Arabic Typesetting" w:hint="cs"/>
          <w:color w:val="0F243E" w:themeColor="text2" w:themeShade="80"/>
          <w:sz w:val="28"/>
          <w:szCs w:val="28"/>
          <w:highlight w:val="yellow"/>
          <w:rtl/>
        </w:rPr>
        <w:lastRenderedPageBreak/>
        <w:t>سعر الكوبون هو سعر فائدة السهم / اذا كان سعر الكوبون اقل من معدل العائد المطلوب ستكون القيمة السوقية اقل من القيمة الاسمية و العكس صحيح ..</w:t>
      </w:r>
    </w:p>
    <w:p w:rsidR="00C07700" w:rsidRPr="000A0753" w:rsidRDefault="00C07700" w:rsidP="00C07700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color w:val="7F7F7F" w:themeColor="text1" w:themeTint="80"/>
          <w:sz w:val="28"/>
          <w:szCs w:val="28"/>
        </w:rPr>
      </w:pP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إذا كانت القيمة السوقية أكبر من القيمة الاسمية: يحقق حامل السند ربحا رأسماليا.</w:t>
      </w:r>
    </w:p>
    <w:p w:rsidR="00C07700" w:rsidRPr="007E14AC" w:rsidRDefault="00C07700" w:rsidP="007E14AC">
      <w:pPr>
        <w:pStyle w:val="a3"/>
        <w:numPr>
          <w:ilvl w:val="0"/>
          <w:numId w:val="20"/>
        </w:numPr>
        <w:rPr>
          <w:rFonts w:ascii="Arabic Typesetting" w:hAnsi="Arabic Typesetting" w:cs="Arabic Typesetting"/>
          <w:color w:val="7F7F7F" w:themeColor="text1" w:themeTint="80"/>
          <w:sz w:val="28"/>
          <w:szCs w:val="28"/>
        </w:rPr>
      </w:pP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إذا كانت القيمة السوقية أقل من القيمة الاسمية: يتحمل حامل السند خسارة رأسمالية.</w:t>
      </w:r>
    </w:p>
    <w:p w:rsidR="00C07700" w:rsidRPr="000A0753" w:rsidRDefault="00C07700" w:rsidP="00C07700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color w:val="0000FF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FF"/>
          <w:sz w:val="28"/>
          <w:szCs w:val="28"/>
          <w:rtl/>
        </w:rPr>
        <w:t>السندات المضمونة و السندات الغير مضمونة:</w:t>
      </w:r>
    </w:p>
    <w:p w:rsidR="00904CB4" w:rsidRPr="000A0753" w:rsidRDefault="00C07700" w:rsidP="00904CB4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color w:val="7F7F7F" w:themeColor="text1" w:themeTint="80"/>
          <w:sz w:val="28"/>
          <w:szCs w:val="28"/>
        </w:rPr>
      </w:pP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السندات المضمونة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(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هي سندات تصدرها المنشآت بضمان يتمثل في رهن أصل من الأصول. يتم تسديد الالتزامات من قيمة بيع الأصول المرهونة في حالة عدم الوفاء بالسداد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.)</w:t>
      </w:r>
      <w:r w:rsidR="007E14AC"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  <w:t xml:space="preserve"> </w:t>
      </w:r>
      <w:r w:rsidR="007E14AC" w:rsidRPr="007E14AC">
        <w:rPr>
          <w:rFonts w:ascii="Arabic Typesetting" w:hAnsi="Arabic Typesetting" w:cs="Arabic Typesetting" w:hint="cs"/>
          <w:color w:val="0F243E" w:themeColor="text2" w:themeShade="80"/>
          <w:sz w:val="28"/>
          <w:szCs w:val="28"/>
          <w:highlight w:val="yellow"/>
          <w:rtl/>
        </w:rPr>
        <w:t>افضل و عائدها اقل</w:t>
      </w:r>
    </w:p>
    <w:p w:rsidR="00C07700" w:rsidRPr="000A0753" w:rsidRDefault="00C07700" w:rsidP="00904CB4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السندات الغير مضمونة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(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سندات صادرة بدون ضمان فهي سندات تصدرها المنشآت دون اللجوء إلى رهن أي من أصولها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.)</w:t>
      </w:r>
    </w:p>
    <w:p w:rsidR="003C66D1" w:rsidRPr="000A0753" w:rsidRDefault="00C07700" w:rsidP="00C07700">
      <w:pPr>
        <w:pStyle w:val="a3"/>
        <w:numPr>
          <w:ilvl w:val="0"/>
          <w:numId w:val="21"/>
        </w:numPr>
        <w:rPr>
          <w:rFonts w:ascii="Arabic Typesetting" w:hAnsi="Arabic Typesetting" w:cs="Arabic Typesetting"/>
          <w:color w:val="0000FF"/>
          <w:sz w:val="28"/>
          <w:szCs w:val="28"/>
          <w:u w:val="single"/>
        </w:rPr>
      </w:pPr>
      <w:r w:rsidRPr="000A0753">
        <w:rPr>
          <w:rFonts w:ascii="Arabic Typesetting" w:hAnsi="Arabic Typesetting" w:cs="Arabic Typesetting"/>
          <w:color w:val="0000FF"/>
          <w:sz w:val="28"/>
          <w:szCs w:val="28"/>
          <w:u w:val="single"/>
          <w:rtl/>
        </w:rPr>
        <w:t>السندات القابلة للأستدعاء و السندات الغير قابلة للاستدعاء</w:t>
      </w:r>
    </w:p>
    <w:p w:rsidR="00904CB4" w:rsidRPr="000A0753" w:rsidRDefault="00C07700" w:rsidP="00904CB4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سندات غير قابلة للاستدعاء 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(</w:t>
      </w:r>
      <w:r w:rsidR="00904CB4" w:rsidRPr="000A0753">
        <w:rPr>
          <w:rFonts w:ascii="Arabic Typesetting" w:hAnsi="Arabic Typesetting" w:cs="Arabic Typesetting"/>
          <w:sz w:val="28"/>
          <w:szCs w:val="28"/>
          <w:rtl/>
        </w:rPr>
        <w:t>هي سندات لا يتم استدعاؤها إلا في تاريخ  الاستحقاق.)</w:t>
      </w:r>
    </w:p>
    <w:p w:rsidR="00C07700" w:rsidRPr="000A0753" w:rsidRDefault="00C07700" w:rsidP="00904CB4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>سندات قابلة للاستدعاء</w:t>
      </w:r>
      <w:r w:rsidR="00904CB4"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 (</w:t>
      </w:r>
      <w:r w:rsidR="00904CB4" w:rsidRPr="000A0753">
        <w:rPr>
          <w:rFonts w:ascii="Arabic Typesetting" w:hAnsi="Arabic Typesetting" w:cs="Arabic Typesetting"/>
          <w:sz w:val="28"/>
          <w:szCs w:val="28"/>
          <w:rtl/>
        </w:rPr>
        <w:t>سندات تصدرها الشركة بشرط يتضمن إمكانية استدعاء السند قبل انقضاء فترة الاستحقاق، وتلتزم الشركة بدفع قيمة تفوق القيمة الاسمية للسند، وتسمى (تعويض الاستدعاء).</w:t>
      </w:r>
    </w:p>
    <w:p w:rsidR="00904CB4" w:rsidRPr="000A0753" w:rsidRDefault="00904CB4" w:rsidP="00904CB4">
      <w:pPr>
        <w:pStyle w:val="a3"/>
        <w:numPr>
          <w:ilvl w:val="0"/>
          <w:numId w:val="22"/>
        </w:numPr>
        <w:rPr>
          <w:rFonts w:ascii="Arabic Typesetting" w:hAnsi="Arabic Typesetting" w:cs="Arabic Typesetting"/>
          <w:color w:val="0000FF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0000FF"/>
          <w:sz w:val="28"/>
          <w:szCs w:val="28"/>
          <w:u w:val="single"/>
          <w:rtl/>
        </w:rPr>
        <w:t xml:space="preserve">السندات القابلة للتحويل و السندات غير القابلة للتحويل </w:t>
      </w:r>
    </w:p>
    <w:p w:rsidR="00904CB4" w:rsidRPr="000A0753" w:rsidRDefault="007F6ABE" w:rsidP="00904CB4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color w:val="FF3399"/>
          <w:sz w:val="28"/>
          <w:szCs w:val="28"/>
        </w:rPr>
      </w:pPr>
      <w:r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سندات قابله للتحويل </w:t>
      </w:r>
      <w:r w:rsidR="00904CB4" w:rsidRPr="000A0753">
        <w:rPr>
          <w:rFonts w:ascii="Arabic Typesetting" w:hAnsi="Arabic Typesetting" w:cs="Arabic Typesetting"/>
          <w:sz w:val="28"/>
          <w:szCs w:val="28"/>
          <w:rtl/>
        </w:rPr>
        <w:t>( يمكن تحويلها وفق شروط محددة بواسطة حاملها إلى أسهم عادية</w:t>
      </w:r>
      <w:r w:rsidR="00904CB4"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>.)</w:t>
      </w:r>
    </w:p>
    <w:p w:rsidR="002A4BA9" w:rsidRPr="00485142" w:rsidRDefault="00904CB4" w:rsidP="00485142">
      <w:pPr>
        <w:pStyle w:val="a3"/>
        <w:numPr>
          <w:ilvl w:val="0"/>
          <w:numId w:val="18"/>
        </w:numPr>
        <w:rPr>
          <w:rFonts w:ascii="Arabic Typesetting" w:hAnsi="Arabic Typesetting" w:cs="Arabic Typesetting"/>
          <w:color w:val="FF3399"/>
          <w:sz w:val="28"/>
          <w:szCs w:val="28"/>
        </w:rPr>
      </w:pP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 xml:space="preserve">سندات غير قابله للتحويل 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( هي سندات لا تحوي أية شروط حول إمكانية تحويلها إلى أسهم</w:t>
      </w:r>
      <w:r w:rsidRPr="000A0753">
        <w:rPr>
          <w:rFonts w:ascii="Arabic Typesetting" w:hAnsi="Arabic Typesetting" w:cs="Arabic Typesetting"/>
          <w:color w:val="FF3399"/>
          <w:sz w:val="28"/>
          <w:szCs w:val="28"/>
          <w:rtl/>
        </w:rPr>
        <w:t>.)</w:t>
      </w:r>
    </w:p>
    <w:p w:rsidR="00904CB4" w:rsidRPr="000A0753" w:rsidRDefault="00904CB4" w:rsidP="00904CB4">
      <w:pPr>
        <w:ind w:left="360"/>
        <w:rPr>
          <w:rFonts w:ascii="Arabic Typesetting" w:hAnsi="Arabic Typesetting" w:cs="Arabic Typesetting"/>
          <w:color w:val="009900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009900"/>
          <w:sz w:val="28"/>
          <w:szCs w:val="28"/>
          <w:u w:val="single"/>
          <w:rtl/>
        </w:rPr>
        <w:t>طرق سداد السندات ( رد قمية السندات لحامليها )</w:t>
      </w:r>
    </w:p>
    <w:p w:rsidR="00904CB4" w:rsidRPr="000A0753" w:rsidRDefault="00904CB4" w:rsidP="00904CB4">
      <w:pPr>
        <w:rPr>
          <w:rFonts w:ascii="Arabic Typesetting" w:hAnsi="Arabic Typesetting" w:cs="Arabic Typesetting"/>
          <w:color w:val="FF505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الوفاء الإلزامي :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اعادة شراء السندات من حامليها خلال فترة الاستحقاق بشرط ان ينص على ذلك في نشره الاصدار</w:t>
      </w: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>.</w:t>
      </w:r>
    </w:p>
    <w:p w:rsidR="00904CB4" w:rsidRPr="000A0753" w:rsidRDefault="00904CB4" w:rsidP="00904CB4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البيع الاختياري: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يمكن للمستثمر ارجاع السند الى المنشاه المصدرة للسند و استرداد قيمتة  في تاريخ محدد خلال فتره الاستحقاق </w:t>
      </w:r>
      <w:r w:rsidR="000A0753"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.</w:t>
      </w:r>
    </w:p>
    <w:p w:rsidR="00904CB4" w:rsidRPr="000A0753" w:rsidRDefault="00904CB4" w:rsidP="00904CB4">
      <w:pPr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FF5050"/>
          <w:sz w:val="28"/>
          <w:szCs w:val="28"/>
          <w:rtl/>
        </w:rPr>
        <w:t xml:space="preserve">الاستدعاء الاختياري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: يسمح للمقترض</w:t>
      </w:r>
      <w:r w:rsidR="007E14AC">
        <w:rPr>
          <w:rFonts w:ascii="Arabic Typesetting" w:hAnsi="Arabic Typesetting" w:cs="Arabic Typesetting" w:hint="cs"/>
          <w:color w:val="7F7F7F" w:themeColor="text1" w:themeTint="80"/>
          <w:sz w:val="28"/>
          <w:szCs w:val="28"/>
          <w:rtl/>
        </w:rPr>
        <w:t xml:space="preserve">( الشركة ) </w:t>
      </w:r>
      <w:bookmarkStart w:id="0" w:name="_GoBack"/>
      <w:bookmarkEnd w:id="0"/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اعاده شراء السند من حامله خلال فترة الاستحقاق بسعر ثابت اعلى من سعر الاصدار و يتناقص سنويا حسب ما</w:t>
      </w:r>
      <w:r w:rsidR="000A0753"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هو منصوص عليه في نشرة الاصدار</w:t>
      </w:r>
      <w:r w:rsidR="000A0753"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 xml:space="preserve"> .</w:t>
      </w:r>
    </w:p>
    <w:p w:rsidR="000A0753" w:rsidRPr="002A4BA9" w:rsidRDefault="000A0753" w:rsidP="002A4BA9">
      <w:pPr>
        <w:pStyle w:val="a3"/>
        <w:numPr>
          <w:ilvl w:val="0"/>
          <w:numId w:val="24"/>
        </w:numPr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</w:pPr>
      <w:r w:rsidRPr="002A4BA9">
        <w:rPr>
          <w:rFonts w:ascii="Arabic Typesetting" w:hAnsi="Arabic Typesetting" w:cs="Arabic Typesetting"/>
          <w:color w:val="00B0F0"/>
          <w:sz w:val="28"/>
          <w:szCs w:val="28"/>
          <w:u w:val="single"/>
          <w:rtl/>
        </w:rPr>
        <w:t>الاسهم الممتازة</w:t>
      </w:r>
      <w:r w:rsidR="002A4BA9">
        <w:rPr>
          <w:rFonts w:ascii="Arabic Typesetting" w:hAnsi="Arabic Typesetting" w:cs="Arabic Typesetting" w:hint="cs"/>
          <w:color w:val="00B0F0"/>
          <w:sz w:val="28"/>
          <w:szCs w:val="28"/>
          <w:u w:val="single"/>
          <w:rtl/>
        </w:rPr>
        <w:t xml:space="preserve"> ::</w:t>
      </w:r>
    </w:p>
    <w:p w:rsidR="000A0753" w:rsidRPr="000A0753" w:rsidRDefault="000A0753" w:rsidP="000A0753">
      <w:p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990099"/>
          <w:sz w:val="28"/>
          <w:szCs w:val="28"/>
          <w:rtl/>
        </w:rPr>
        <w:t xml:space="preserve">طبيعة الاسهم الممتازة </w:t>
      </w:r>
      <w:r w:rsidRPr="000A0753">
        <w:rPr>
          <w:rFonts w:ascii="Arabic Typesetting" w:hAnsi="Arabic Typesetting" w:cs="Arabic Typesetting"/>
          <w:color w:val="7F7F7F" w:themeColor="text1" w:themeTint="80"/>
          <w:sz w:val="28"/>
          <w:szCs w:val="28"/>
          <w:rtl/>
        </w:rPr>
        <w:t>: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 xml:space="preserve">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السهم الممتاز (يسمى كذلك السهم التفضيلي) ھو وثیقة تصدرھا المنشأة وتحمل قیمة اسمیة ,تعطي ملكية الأسھم الممتازة لحاملھا 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u w:val="single"/>
          <w:rtl/>
        </w:rPr>
        <w:t>حق الملكیة في المنشأة</w:t>
      </w: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 xml:space="preserve"> بما یعادل قیمة أسھمها. بالإضافة إلى القيمة الاسمية يوجد للسهم الممتاز قیمة دفتریة وقیمة سوقیة. ,, يجمع السهم الممتاز بین خصائص الأسھم العادیة وخصائص السندات.</w:t>
      </w:r>
    </w:p>
    <w:p w:rsidR="000A0753" w:rsidRPr="000A0753" w:rsidRDefault="000A0753" w:rsidP="000A0753">
      <w:pPr>
        <w:rPr>
          <w:rFonts w:ascii="Arabic Typesetting" w:hAnsi="Arabic Typesetting" w:cs="Arabic Typesetting"/>
          <w:color w:val="990099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990099"/>
          <w:sz w:val="28"/>
          <w:szCs w:val="28"/>
          <w:u w:val="single"/>
          <w:rtl/>
        </w:rPr>
        <w:t xml:space="preserve">السهم الممتاز و السهم العادي </w:t>
      </w:r>
    </w:p>
    <w:p w:rsidR="000A0753" w:rsidRPr="000A0753" w:rsidRDefault="000A0753" w:rsidP="000A0753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كلاهما ليس له تاريخ استحقاق.</w:t>
      </w:r>
    </w:p>
    <w:p w:rsidR="000A0753" w:rsidRPr="000A0753" w:rsidRDefault="000A0753" w:rsidP="000A0753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كلاھما یمثل مصدر تمویل دائم بالنسبة للمنشأة.</w:t>
      </w:r>
    </w:p>
    <w:p w:rsidR="000A0753" w:rsidRPr="000A0753" w:rsidRDefault="000A0753" w:rsidP="000A0753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000000" w:themeColor="text1"/>
          <w:sz w:val="28"/>
          <w:szCs w:val="28"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تخلف المنشأة عن دفع الأرباح الموزعة لحاملي الأسھم الممتازة والعادیة لا یؤدي على إفلاس المنشأة.</w:t>
      </w:r>
      <w:r w:rsidR="007E14AC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 xml:space="preserve"> </w:t>
      </w:r>
      <w:r w:rsidR="007E14AC" w:rsidRPr="007E14AC">
        <w:rPr>
          <w:rFonts w:ascii="Arabic Typesetting" w:hAnsi="Arabic Typesetting" w:cs="Arabic Typesetting" w:hint="cs"/>
          <w:color w:val="000000" w:themeColor="text1"/>
          <w:sz w:val="28"/>
          <w:szCs w:val="28"/>
          <w:highlight w:val="yellow"/>
          <w:rtl/>
        </w:rPr>
        <w:t>عكس السندات تفلس</w:t>
      </w:r>
      <w:r w:rsidR="007E14AC">
        <w:rPr>
          <w:rFonts w:ascii="Arabic Typesetting" w:hAnsi="Arabic Typesetting" w:cs="Arabic Typesetting" w:hint="cs"/>
          <w:color w:val="000000" w:themeColor="text1"/>
          <w:sz w:val="28"/>
          <w:szCs w:val="28"/>
          <w:rtl/>
        </w:rPr>
        <w:t xml:space="preserve"> </w:t>
      </w:r>
    </w:p>
    <w:p w:rsidR="000A0753" w:rsidRPr="000A0753" w:rsidRDefault="000A0753" w:rsidP="000A0753">
      <w:pPr>
        <w:pStyle w:val="a3"/>
        <w:numPr>
          <w:ilvl w:val="0"/>
          <w:numId w:val="16"/>
        </w:numPr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color w:val="000000" w:themeColor="text1"/>
          <w:sz w:val="28"/>
          <w:szCs w:val="28"/>
          <w:rtl/>
        </w:rPr>
        <w:t>الأرباح الموزعة للأسھم الممتازة والعادیة لا تحقق وفورات ضریبیة للمنشأة لأنھا تدفع بعد الضریبة.</w:t>
      </w:r>
    </w:p>
    <w:p w:rsidR="00904CB4" w:rsidRPr="000A0753" w:rsidRDefault="000A0753" w:rsidP="00904CB4">
      <w:pPr>
        <w:rPr>
          <w:rFonts w:ascii="Arabic Typesetting" w:hAnsi="Arabic Typesetting" w:cs="Arabic Typesetting"/>
          <w:color w:val="990099"/>
          <w:sz w:val="28"/>
          <w:szCs w:val="28"/>
          <w:u w:val="single"/>
          <w:rtl/>
        </w:rPr>
      </w:pPr>
      <w:r w:rsidRPr="000A0753">
        <w:rPr>
          <w:rFonts w:ascii="Arabic Typesetting" w:hAnsi="Arabic Typesetting" w:cs="Arabic Typesetting"/>
          <w:color w:val="990099"/>
          <w:sz w:val="28"/>
          <w:szCs w:val="28"/>
          <w:u w:val="single"/>
          <w:rtl/>
        </w:rPr>
        <w:lastRenderedPageBreak/>
        <w:t xml:space="preserve">الاسهم الممتازة و السندات </w:t>
      </w:r>
    </w:p>
    <w:p w:rsidR="000A0753" w:rsidRPr="000A0753" w:rsidRDefault="000A0753" w:rsidP="000A0753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sz w:val="28"/>
          <w:szCs w:val="28"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العائد الذي يحصل كل من حامل السهم الممتاز وحامل السند ثابت ومحدد بقیمة أو بنسبة معينة.</w:t>
      </w:r>
    </w:p>
    <w:p w:rsidR="00904CB4" w:rsidRPr="002A4BA9" w:rsidRDefault="000A0753" w:rsidP="002A4BA9">
      <w:pPr>
        <w:pStyle w:val="a3"/>
        <w:numPr>
          <w:ilvl w:val="0"/>
          <w:numId w:val="23"/>
        </w:numPr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>لكل من حامل السهم الممتاز وحامل السند الأولویة على حملة الأسهم العادية في استرداد حقوقه من أصول المنشأة في حالة إفلاسھا أو تصفيتها.</w:t>
      </w:r>
    </w:p>
    <w:p w:rsidR="00904CB4" w:rsidRPr="002A4BA9" w:rsidRDefault="000A0753" w:rsidP="00C07700">
      <w:pPr>
        <w:ind w:left="720"/>
        <w:rPr>
          <w:rFonts w:ascii="Arabic Typesetting" w:hAnsi="Arabic Typesetting" w:cs="Arabic Typesetting"/>
          <w:color w:val="009900"/>
          <w:sz w:val="28"/>
          <w:szCs w:val="28"/>
          <w:rtl/>
        </w:rPr>
      </w:pPr>
      <w:r w:rsidRPr="002A4BA9">
        <w:rPr>
          <w:rFonts w:ascii="Arabic Typesetting" w:hAnsi="Arabic Typesetting" w:cs="Arabic Typesetting"/>
          <w:color w:val="009900"/>
          <w:sz w:val="28"/>
          <w:szCs w:val="28"/>
          <w:rtl/>
        </w:rPr>
        <w:t>خصائص اخرى للأسهم الممتازه</w:t>
      </w:r>
    </w:p>
    <w:p w:rsidR="000A0753" w:rsidRPr="000A0753" w:rsidRDefault="000A0753" w:rsidP="000A0753">
      <w:pPr>
        <w:ind w:left="720"/>
        <w:rPr>
          <w:rFonts w:ascii="Arabic Typesetting" w:hAnsi="Arabic Typesetting" w:cs="Arabic Typesetting"/>
          <w:sz w:val="28"/>
          <w:szCs w:val="28"/>
          <w:rtl/>
        </w:rPr>
      </w:pPr>
      <w:r w:rsidRPr="000A0753">
        <w:rPr>
          <w:rFonts w:ascii="Arabic Typesetting" w:hAnsi="Arabic Typesetting" w:cs="Arabic Typesetting"/>
          <w:sz w:val="28"/>
          <w:szCs w:val="28"/>
          <w:rtl/>
        </w:rPr>
        <w:t xml:space="preserve">تعدد أنواعھا بحیث تستطیع المنشأة أن تصدر أنواع متعددة من الأسهم الممتازة من </w:t>
      </w:r>
      <w:r w:rsidRPr="002A4BA9">
        <w:rPr>
          <w:rFonts w:ascii="Arabic Typesetting" w:hAnsi="Arabic Typesetting" w:cs="Arabic Typesetting"/>
          <w:color w:val="CC0099"/>
          <w:sz w:val="28"/>
          <w:szCs w:val="28"/>
          <w:rtl/>
        </w:rPr>
        <w:t>حيث</w:t>
      </w:r>
      <w:r w:rsidRPr="000A0753">
        <w:rPr>
          <w:rFonts w:ascii="Arabic Typesetting" w:hAnsi="Arabic Typesetting" w:cs="Arabic Typesetting"/>
          <w:sz w:val="28"/>
          <w:szCs w:val="28"/>
          <w:rtl/>
        </w:rPr>
        <w:t>:</w:t>
      </w:r>
    </w:p>
    <w:p w:rsidR="002A4BA9" w:rsidRDefault="000A0753" w:rsidP="002A4BA9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sz w:val="28"/>
          <w:szCs w:val="28"/>
        </w:rPr>
      </w:pPr>
      <w:r w:rsidRPr="002A4BA9">
        <w:rPr>
          <w:rFonts w:ascii="Arabic Typesetting" w:hAnsi="Arabic Typesetting" w:cs="Arabic Typesetting"/>
          <w:sz w:val="28"/>
          <w:szCs w:val="28"/>
          <w:rtl/>
        </w:rPr>
        <w:t xml:space="preserve"> نسبة العائد على السهم الممتاز</w:t>
      </w:r>
    </w:p>
    <w:p w:rsidR="002A4BA9" w:rsidRDefault="000A0753" w:rsidP="002A4BA9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sz w:val="28"/>
          <w:szCs w:val="28"/>
        </w:rPr>
      </w:pPr>
      <w:r w:rsidRPr="002A4BA9">
        <w:rPr>
          <w:rFonts w:ascii="Arabic Typesetting" w:hAnsi="Arabic Typesetting" w:cs="Arabic Typesetting"/>
          <w:sz w:val="28"/>
          <w:szCs w:val="28"/>
          <w:rtl/>
        </w:rPr>
        <w:t>إمكانية تحويل بعضها إلى أسهم عادية</w:t>
      </w:r>
    </w:p>
    <w:p w:rsidR="000A0753" w:rsidRPr="002A4BA9" w:rsidRDefault="000A0753" w:rsidP="002A4BA9">
      <w:pPr>
        <w:pStyle w:val="a3"/>
        <w:numPr>
          <w:ilvl w:val="0"/>
          <w:numId w:val="25"/>
        </w:numPr>
        <w:rPr>
          <w:rFonts w:ascii="Arabic Typesetting" w:hAnsi="Arabic Typesetting" w:cs="Arabic Typesetting"/>
          <w:sz w:val="28"/>
          <w:szCs w:val="28"/>
          <w:rtl/>
        </w:rPr>
      </w:pPr>
      <w:r w:rsidRPr="002A4BA9">
        <w:rPr>
          <w:rFonts w:ascii="Arabic Typesetting" w:hAnsi="Arabic Typesetting" w:cs="Arabic Typesetting"/>
          <w:sz w:val="28"/>
          <w:szCs w:val="28"/>
          <w:rtl/>
        </w:rPr>
        <w:t>أحقية تجمیع الأرباح</w:t>
      </w:r>
    </w:p>
    <w:p w:rsidR="000A0753" w:rsidRPr="002A4BA9" w:rsidRDefault="000A0753" w:rsidP="000A0753">
      <w:pPr>
        <w:ind w:left="720"/>
        <w:rPr>
          <w:rFonts w:ascii="Arabic Typesetting" w:hAnsi="Arabic Typesetting" w:cs="Arabic Typesetting"/>
          <w:color w:val="CC0099"/>
          <w:sz w:val="28"/>
          <w:szCs w:val="28"/>
        </w:rPr>
      </w:pPr>
      <w:r w:rsidRPr="002A4BA9">
        <w:rPr>
          <w:rFonts w:ascii="Arabic Typesetting" w:hAnsi="Arabic Typesetting" w:cs="Arabic Typesetting"/>
          <w:color w:val="CC0099"/>
          <w:sz w:val="28"/>
          <w:szCs w:val="28"/>
          <w:rtl/>
        </w:rPr>
        <w:t>في بعض الحالات یشارك أصحاب الأسھم الممتازة أصحاب الأسھم العادیة في الأرباح.</w:t>
      </w:r>
    </w:p>
    <w:sectPr w:rsidR="000A0753" w:rsidRPr="002A4BA9" w:rsidSect="002A4BA9">
      <w:footerReference w:type="default" r:id="rId13"/>
      <w:pgSz w:w="11906" w:h="16838"/>
      <w:pgMar w:top="1440" w:right="1800" w:bottom="1440" w:left="1800" w:header="708" w:footer="708" w:gutter="0"/>
      <w:pgBorders w:offsetFrom="page">
        <w:top w:val="double" w:sz="4" w:space="24" w:color="990099"/>
        <w:left w:val="double" w:sz="4" w:space="24" w:color="990099"/>
        <w:bottom w:val="double" w:sz="4" w:space="24" w:color="990099"/>
        <w:right w:val="double" w:sz="4" w:space="24" w:color="990099"/>
      </w:pgBorders>
      <w:pgNumType w:start="5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31F" w:rsidRDefault="00E0631F" w:rsidP="003C66D1">
      <w:pPr>
        <w:spacing w:after="0" w:line="240" w:lineRule="auto"/>
      </w:pPr>
      <w:r>
        <w:separator/>
      </w:r>
    </w:p>
  </w:endnote>
  <w:endnote w:type="continuationSeparator" w:id="0">
    <w:p w:rsidR="00E0631F" w:rsidRDefault="00E0631F" w:rsidP="003C6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87514641"/>
      <w:docPartObj>
        <w:docPartGallery w:val="Page Numbers (Bottom of Page)"/>
        <w:docPartUnique/>
      </w:docPartObj>
    </w:sdtPr>
    <w:sdtEndPr/>
    <w:sdtContent>
      <w:p w:rsidR="002A4BA9" w:rsidRDefault="002A4BA9">
        <w:pPr>
          <w:pStyle w:val="a6"/>
          <w:jc w:val="right"/>
        </w:pPr>
        <w:r w:rsidRPr="002A4BA9">
          <w:rPr>
            <w:rFonts w:ascii="Arabic Typesetting" w:hAnsi="Arabic Typesetting" w:cs="Arabic Typesetting"/>
            <w:color w:val="548DD4" w:themeColor="text2" w:themeTint="99"/>
            <w:sz w:val="48"/>
            <w:szCs w:val="48"/>
          </w:rPr>
          <w:fldChar w:fldCharType="begin"/>
        </w:r>
        <w:r w:rsidRPr="002A4BA9">
          <w:rPr>
            <w:rFonts w:ascii="Arabic Typesetting" w:hAnsi="Arabic Typesetting" w:cs="Arabic Typesetting"/>
            <w:color w:val="548DD4" w:themeColor="text2" w:themeTint="99"/>
            <w:sz w:val="48"/>
            <w:szCs w:val="48"/>
          </w:rPr>
          <w:instrText>PAGE   \* MERGEFORMAT</w:instrText>
        </w:r>
        <w:r w:rsidRPr="002A4BA9">
          <w:rPr>
            <w:rFonts w:ascii="Arabic Typesetting" w:hAnsi="Arabic Typesetting" w:cs="Arabic Typesetting"/>
            <w:color w:val="548DD4" w:themeColor="text2" w:themeTint="99"/>
            <w:sz w:val="48"/>
            <w:szCs w:val="48"/>
          </w:rPr>
          <w:fldChar w:fldCharType="separate"/>
        </w:r>
        <w:r w:rsidR="00315CD1" w:rsidRPr="00315CD1">
          <w:rPr>
            <w:rFonts w:ascii="Arabic Typesetting" w:hAnsi="Arabic Typesetting" w:cs="Arabic Typesetting"/>
            <w:noProof/>
            <w:color w:val="548DD4" w:themeColor="text2" w:themeTint="99"/>
            <w:sz w:val="48"/>
            <w:szCs w:val="48"/>
            <w:rtl/>
            <w:lang w:val="ar-SA"/>
          </w:rPr>
          <w:t>55</w:t>
        </w:r>
        <w:r w:rsidRPr="002A4BA9">
          <w:rPr>
            <w:rFonts w:ascii="Arabic Typesetting" w:hAnsi="Arabic Typesetting" w:cs="Arabic Typesetting"/>
            <w:color w:val="548DD4" w:themeColor="text2" w:themeTint="99"/>
            <w:sz w:val="48"/>
            <w:szCs w:val="48"/>
          </w:rPr>
          <w:fldChar w:fldCharType="end"/>
        </w:r>
      </w:p>
    </w:sdtContent>
  </w:sdt>
  <w:p w:rsidR="002A4BA9" w:rsidRDefault="002A4BA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31F" w:rsidRDefault="00E0631F" w:rsidP="003C66D1">
      <w:pPr>
        <w:spacing w:after="0" w:line="240" w:lineRule="auto"/>
      </w:pPr>
      <w:r>
        <w:separator/>
      </w:r>
    </w:p>
  </w:footnote>
  <w:footnote w:type="continuationSeparator" w:id="0">
    <w:p w:rsidR="00E0631F" w:rsidRDefault="00E0631F" w:rsidP="003C66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3" type="#_x0000_t75" style="width:10.9pt;height:10.9pt" o:bullet="t">
        <v:imagedata r:id="rId1" o:title="msoE64C"/>
      </v:shape>
    </w:pict>
  </w:numPicBullet>
  <w:abstractNum w:abstractNumId="0">
    <w:nsid w:val="0F78114E"/>
    <w:multiLevelType w:val="hybridMultilevel"/>
    <w:tmpl w:val="0BE81BF4"/>
    <w:lvl w:ilvl="0" w:tplc="33165B2C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33740"/>
    <w:multiLevelType w:val="hybridMultilevel"/>
    <w:tmpl w:val="A1B4F582"/>
    <w:lvl w:ilvl="0" w:tplc="C084FCCA">
      <w:start w:val="1"/>
      <w:numFmt w:val="bullet"/>
      <w:lvlText w:val="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92229E"/>
    <w:multiLevelType w:val="hybridMultilevel"/>
    <w:tmpl w:val="BD8881C0"/>
    <w:lvl w:ilvl="0" w:tplc="23747758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9900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DE1356"/>
    <w:multiLevelType w:val="hybridMultilevel"/>
    <w:tmpl w:val="5AB07AAE"/>
    <w:lvl w:ilvl="0" w:tplc="C57CA03A">
      <w:start w:val="1"/>
      <w:numFmt w:val="decimal"/>
      <w:lvlText w:val="%1-"/>
      <w:lvlJc w:val="left"/>
      <w:pPr>
        <w:ind w:left="1080" w:hanging="360"/>
      </w:pPr>
      <w:rPr>
        <w:rFonts w:hint="default"/>
        <w:color w:val="0099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FEF12E6"/>
    <w:multiLevelType w:val="hybridMultilevel"/>
    <w:tmpl w:val="75884C96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1862A09"/>
    <w:multiLevelType w:val="hybridMultilevel"/>
    <w:tmpl w:val="AA96BAA8"/>
    <w:lvl w:ilvl="0" w:tplc="EF5EA9AC">
      <w:start w:val="1"/>
      <w:numFmt w:val="bullet"/>
      <w:lvlText w:val=""/>
      <w:lvlJc w:val="left"/>
      <w:pPr>
        <w:ind w:left="1080" w:hanging="360"/>
      </w:pPr>
      <w:rPr>
        <w:rFonts w:ascii="Wingdings" w:hAnsi="Wingdings" w:hint="default"/>
        <w:color w:val="0099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54C5D03"/>
    <w:multiLevelType w:val="hybridMultilevel"/>
    <w:tmpl w:val="191E109E"/>
    <w:lvl w:ilvl="0" w:tplc="C3EE22C0">
      <w:start w:val="1"/>
      <w:numFmt w:val="bullet"/>
      <w:lvlText w:val="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E0620D"/>
    <w:multiLevelType w:val="hybridMultilevel"/>
    <w:tmpl w:val="4498CE78"/>
    <w:lvl w:ilvl="0" w:tplc="6B54CCD4">
      <w:start w:val="1"/>
      <w:numFmt w:val="decimal"/>
      <w:lvlText w:val="%1-"/>
      <w:lvlJc w:val="left"/>
      <w:pPr>
        <w:ind w:left="720" w:hanging="360"/>
      </w:pPr>
      <w:rPr>
        <w:rFonts w:cs="Arial" w:hint="default"/>
        <w:color w:val="CC00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0419FE"/>
    <w:multiLevelType w:val="hybridMultilevel"/>
    <w:tmpl w:val="EB60676E"/>
    <w:lvl w:ilvl="0" w:tplc="671E8B3E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  <w:color w:val="CC00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91640F"/>
    <w:multiLevelType w:val="hybridMultilevel"/>
    <w:tmpl w:val="C63A54B0"/>
    <w:lvl w:ilvl="0" w:tplc="0409001B">
      <w:start w:val="1"/>
      <w:numFmt w:val="lowerRoman"/>
      <w:lvlText w:val="%1."/>
      <w:lvlJc w:val="righ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>
    <w:nsid w:val="3CFB2CF3"/>
    <w:multiLevelType w:val="hybridMultilevel"/>
    <w:tmpl w:val="3210FF3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430167"/>
    <w:multiLevelType w:val="hybridMultilevel"/>
    <w:tmpl w:val="D27C8588"/>
    <w:lvl w:ilvl="0" w:tplc="4B7C48F4">
      <w:start w:val="1"/>
      <w:numFmt w:val="decimal"/>
      <w:lvlText w:val="%1-"/>
      <w:lvlJc w:val="left"/>
      <w:pPr>
        <w:ind w:left="720" w:hanging="360"/>
      </w:pPr>
      <w:rPr>
        <w:rFonts w:cs="Arial" w:hint="default"/>
        <w:color w:val="CC00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C3CA8"/>
    <w:multiLevelType w:val="hybridMultilevel"/>
    <w:tmpl w:val="730E601C"/>
    <w:lvl w:ilvl="0" w:tplc="6F9888C0">
      <w:start w:val="1"/>
      <w:numFmt w:val="bullet"/>
      <w:lvlText w:val=""/>
      <w:lvlJc w:val="left"/>
      <w:pPr>
        <w:ind w:left="720" w:hanging="360"/>
      </w:pPr>
      <w:rPr>
        <w:rFonts w:ascii="Wingdings" w:hAnsi="Wingdings" w:hint="default"/>
        <w:color w:val="9900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424A0"/>
    <w:multiLevelType w:val="hybridMultilevel"/>
    <w:tmpl w:val="A03EE70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D7B3543"/>
    <w:multiLevelType w:val="hybridMultilevel"/>
    <w:tmpl w:val="12EAFA3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060A97"/>
    <w:multiLevelType w:val="hybridMultilevel"/>
    <w:tmpl w:val="E8EC5F24"/>
    <w:lvl w:ilvl="0" w:tplc="F89E529C">
      <w:start w:val="1"/>
      <w:numFmt w:val="bullet"/>
      <w:lvlText w:val="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959035F"/>
    <w:multiLevelType w:val="hybridMultilevel"/>
    <w:tmpl w:val="B29C849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B771E36"/>
    <w:multiLevelType w:val="hybridMultilevel"/>
    <w:tmpl w:val="70D2850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C22467F"/>
    <w:multiLevelType w:val="hybridMultilevel"/>
    <w:tmpl w:val="24FC6528"/>
    <w:lvl w:ilvl="0" w:tplc="2DD4A014">
      <w:start w:val="1"/>
      <w:numFmt w:val="bullet"/>
      <w:lvlText w:val=""/>
      <w:lvlJc w:val="left"/>
      <w:pPr>
        <w:ind w:left="720" w:hanging="360"/>
      </w:pPr>
      <w:rPr>
        <w:rFonts w:ascii="Wingdings" w:hAnsi="Wingdings" w:hint="default"/>
        <w:color w:val="0099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B3324C"/>
    <w:multiLevelType w:val="hybridMultilevel"/>
    <w:tmpl w:val="FF54C2B6"/>
    <w:lvl w:ilvl="0" w:tplc="43462C8E">
      <w:start w:val="1"/>
      <w:numFmt w:val="decimal"/>
      <w:lvlText w:val="%1-"/>
      <w:lvlJc w:val="left"/>
      <w:pPr>
        <w:ind w:left="720" w:hanging="360"/>
      </w:pPr>
      <w:rPr>
        <w:rFonts w:cs="Arial" w:hint="default"/>
        <w:color w:val="FF5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8E31AE"/>
    <w:multiLevelType w:val="hybridMultilevel"/>
    <w:tmpl w:val="7D8260A0"/>
    <w:lvl w:ilvl="0" w:tplc="EF5EA9AC">
      <w:start w:val="1"/>
      <w:numFmt w:val="bullet"/>
      <w:lvlText w:val=""/>
      <w:lvlJc w:val="left"/>
      <w:pPr>
        <w:ind w:left="720" w:hanging="360"/>
      </w:pPr>
      <w:rPr>
        <w:rFonts w:ascii="Wingdings" w:hAnsi="Wingdings" w:hint="default"/>
        <w:color w:val="0099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476113"/>
    <w:multiLevelType w:val="hybridMultilevel"/>
    <w:tmpl w:val="9F18EA3A"/>
    <w:lvl w:ilvl="0" w:tplc="6EAC5238">
      <w:start w:val="1"/>
      <w:numFmt w:val="decimal"/>
      <w:lvlText w:val="%1-"/>
      <w:lvlJc w:val="left"/>
      <w:pPr>
        <w:ind w:left="720" w:hanging="360"/>
      </w:pPr>
      <w:rPr>
        <w:rFonts w:cs="Arial" w:hint="default"/>
        <w:color w:val="CC00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F50527"/>
    <w:multiLevelType w:val="hybridMultilevel"/>
    <w:tmpl w:val="8DCAF8EE"/>
    <w:lvl w:ilvl="0" w:tplc="35F0B78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D73959"/>
    <w:multiLevelType w:val="hybridMultilevel"/>
    <w:tmpl w:val="77C8A49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7EB7CB1"/>
    <w:multiLevelType w:val="hybridMultilevel"/>
    <w:tmpl w:val="C7F8EB26"/>
    <w:lvl w:ilvl="0" w:tplc="C084FCCA">
      <w:start w:val="1"/>
      <w:numFmt w:val="bullet"/>
      <w:lvlText w:val="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2AB6C99"/>
    <w:multiLevelType w:val="hybridMultilevel"/>
    <w:tmpl w:val="9A566F00"/>
    <w:lvl w:ilvl="0" w:tplc="76B6BA98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7C72E6"/>
    <w:multiLevelType w:val="hybridMultilevel"/>
    <w:tmpl w:val="5D10B7DC"/>
    <w:lvl w:ilvl="0" w:tplc="EEDE8274">
      <w:start w:val="1"/>
      <w:numFmt w:val="bullet"/>
      <w:lvlText w:val=""/>
      <w:lvlJc w:val="left"/>
      <w:pPr>
        <w:ind w:left="1440" w:hanging="360"/>
      </w:pPr>
      <w:rPr>
        <w:rFonts w:ascii="Wingdings" w:hAnsi="Wingdings" w:hint="default"/>
        <w:color w:val="0099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C744347"/>
    <w:multiLevelType w:val="hybridMultilevel"/>
    <w:tmpl w:val="7F30C8A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1"/>
  </w:num>
  <w:num w:numId="4">
    <w:abstractNumId w:val="8"/>
  </w:num>
  <w:num w:numId="5">
    <w:abstractNumId w:val="18"/>
  </w:num>
  <w:num w:numId="6">
    <w:abstractNumId w:val="4"/>
  </w:num>
  <w:num w:numId="7">
    <w:abstractNumId w:val="20"/>
  </w:num>
  <w:num w:numId="8">
    <w:abstractNumId w:val="19"/>
  </w:num>
  <w:num w:numId="9">
    <w:abstractNumId w:val="1"/>
  </w:num>
  <w:num w:numId="10">
    <w:abstractNumId w:val="5"/>
  </w:num>
  <w:num w:numId="11">
    <w:abstractNumId w:val="17"/>
  </w:num>
  <w:num w:numId="12">
    <w:abstractNumId w:val="10"/>
  </w:num>
  <w:num w:numId="13">
    <w:abstractNumId w:val="15"/>
  </w:num>
  <w:num w:numId="14">
    <w:abstractNumId w:val="7"/>
  </w:num>
  <w:num w:numId="15">
    <w:abstractNumId w:val="26"/>
  </w:num>
  <w:num w:numId="16">
    <w:abstractNumId w:val="12"/>
  </w:num>
  <w:num w:numId="17">
    <w:abstractNumId w:val="0"/>
  </w:num>
  <w:num w:numId="18">
    <w:abstractNumId w:val="22"/>
  </w:num>
  <w:num w:numId="19">
    <w:abstractNumId w:val="27"/>
  </w:num>
  <w:num w:numId="20">
    <w:abstractNumId w:val="14"/>
  </w:num>
  <w:num w:numId="21">
    <w:abstractNumId w:val="16"/>
  </w:num>
  <w:num w:numId="22">
    <w:abstractNumId w:val="13"/>
  </w:num>
  <w:num w:numId="23">
    <w:abstractNumId w:val="2"/>
  </w:num>
  <w:num w:numId="24">
    <w:abstractNumId w:val="25"/>
  </w:num>
  <w:num w:numId="25">
    <w:abstractNumId w:val="3"/>
  </w:num>
  <w:num w:numId="26">
    <w:abstractNumId w:val="23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607"/>
    <w:rsid w:val="000A0753"/>
    <w:rsid w:val="00184CAF"/>
    <w:rsid w:val="002A4BA9"/>
    <w:rsid w:val="00315CD1"/>
    <w:rsid w:val="003C66D1"/>
    <w:rsid w:val="00485142"/>
    <w:rsid w:val="004B0431"/>
    <w:rsid w:val="00505607"/>
    <w:rsid w:val="007E14AC"/>
    <w:rsid w:val="007F6ABE"/>
    <w:rsid w:val="0082747E"/>
    <w:rsid w:val="00904CB4"/>
    <w:rsid w:val="00951C5D"/>
    <w:rsid w:val="00B25FC6"/>
    <w:rsid w:val="00C07700"/>
    <w:rsid w:val="00CF2517"/>
    <w:rsid w:val="00E0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43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4B0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B043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C66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C66D1"/>
  </w:style>
  <w:style w:type="paragraph" w:styleId="a6">
    <w:name w:val="footer"/>
    <w:basedOn w:val="a"/>
    <w:link w:val="Char1"/>
    <w:uiPriority w:val="99"/>
    <w:unhideWhenUsed/>
    <w:rsid w:val="003C66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C66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043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4B04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B043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C66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C66D1"/>
  </w:style>
  <w:style w:type="paragraph" w:styleId="a6">
    <w:name w:val="footer"/>
    <w:basedOn w:val="a"/>
    <w:link w:val="Char1"/>
    <w:uiPriority w:val="99"/>
    <w:unhideWhenUsed/>
    <w:rsid w:val="003C66D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C66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8BFC64D-63E5-4204-B187-1D9E76FF3327}" type="doc">
      <dgm:prSet loTypeId="urn:microsoft.com/office/officeart/2008/layout/HorizontalMultiLevelHierarchy" loCatId="hierarchy" qsTypeId="urn:microsoft.com/office/officeart/2005/8/quickstyle/simple3" qsCatId="simple" csTypeId="urn:microsoft.com/office/officeart/2005/8/colors/colorful3" csCatId="colorful" phldr="1"/>
      <dgm:spPr/>
      <dgm:t>
        <a:bodyPr/>
        <a:lstStyle/>
        <a:p>
          <a:pPr rtl="1"/>
          <a:endParaRPr lang="ar-SA"/>
        </a:p>
      </dgm:t>
    </dgm:pt>
    <dgm:pt modelId="{EAB256EC-61DE-4727-8ECD-FE62F9D453CD}">
      <dgm:prSet phldrT="[نص]" custT="1"/>
      <dgm:spPr/>
      <dgm:t>
        <a:bodyPr/>
        <a:lstStyle/>
        <a:p>
          <a:pPr rtl="1"/>
          <a:r>
            <a:rPr lang="ar-SA" sz="1200" b="0" dirty="0" smtClean="0">
              <a:cs typeface="PT Bold Heading" panose="02010400000000000000" pitchFamily="2" charset="-78"/>
            </a:rPr>
            <a:t>مصادر التمويل قصير الأجل</a:t>
          </a:r>
          <a:endParaRPr lang="ar-SA" sz="1200" b="0" dirty="0">
            <a:cs typeface="PT Bold Heading" panose="02010400000000000000" pitchFamily="2" charset="-78"/>
          </a:endParaRPr>
        </a:p>
      </dgm:t>
    </dgm:pt>
    <dgm:pt modelId="{C70F540E-8EB1-4C92-997F-6FED0F3A6341}" type="parTrans" cxnId="{20FCA3A6-A012-4FF6-838E-A5945C1FF697}">
      <dgm:prSet custT="1"/>
      <dgm:spPr/>
      <dgm:t>
        <a:bodyPr/>
        <a:lstStyle/>
        <a:p>
          <a:pPr rtl="1"/>
          <a:endParaRPr lang="ar-SA" sz="700" b="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21D013F7-24D3-4B42-AE93-F7BF4F1EC6BD}" type="sibTrans" cxnId="{20FCA3A6-A012-4FF6-838E-A5945C1FF697}">
      <dgm:prSet/>
      <dgm:spPr/>
      <dgm:t>
        <a:bodyPr/>
        <a:lstStyle/>
        <a:p>
          <a:pPr rtl="1"/>
          <a:endParaRPr lang="ar-SA" sz="2400" b="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DF42A6ED-076F-47B6-90F1-7FF4557AE52A}">
      <dgm:prSet custT="1"/>
      <dgm:spPr/>
      <dgm:t>
        <a:bodyPr/>
        <a:lstStyle/>
        <a:p>
          <a:pPr rtl="1"/>
          <a:r>
            <a:rPr lang="ar-SA" sz="1200" dirty="0" smtClean="0">
              <a:cs typeface="PT Bold Heading" panose="02010400000000000000" pitchFamily="2" charset="-78"/>
            </a:rPr>
            <a:t>مصادر تمويل الشركة</a:t>
          </a:r>
          <a:endParaRPr lang="ar-SA" sz="1200" dirty="0">
            <a:cs typeface="PT Bold Heading" panose="02010400000000000000" pitchFamily="2" charset="-78"/>
          </a:endParaRPr>
        </a:p>
      </dgm:t>
    </dgm:pt>
    <dgm:pt modelId="{DBDDEC27-DD72-4FFB-B8CE-7418FBA1AA94}" type="parTrans" cxnId="{A967BE3B-439B-4E67-B71D-82DB9924055B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52A7E3EA-51A9-4407-82BA-5F21CE551863}" type="sibTrans" cxnId="{A967BE3B-439B-4E67-B71D-82DB9924055B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05FF7320-DF55-48DE-BBBA-C2DCE24AC4EA}">
      <dgm:prSet custT="1"/>
      <dgm:spPr/>
      <dgm:t>
        <a:bodyPr/>
        <a:lstStyle/>
        <a:p>
          <a:pPr rtl="1"/>
          <a:r>
            <a:rPr lang="ar-SA" sz="1200" b="0" dirty="0" smtClean="0">
              <a:cs typeface="PT Bold Heading" panose="02010400000000000000" pitchFamily="2" charset="-78"/>
            </a:rPr>
            <a:t>مصادر التمويل طويل الأجل</a:t>
          </a:r>
          <a:endParaRPr lang="ar-SA" sz="1200" b="0" dirty="0">
            <a:cs typeface="PT Bold Heading" panose="02010400000000000000" pitchFamily="2" charset="-78"/>
          </a:endParaRPr>
        </a:p>
      </dgm:t>
    </dgm:pt>
    <dgm:pt modelId="{9E5D9AE3-AB8C-4853-9052-4B3FC92DABF3}" type="parTrans" cxnId="{35854A19-365A-4084-A7AD-842AFD5F2C03}">
      <dgm:prSet custT="1"/>
      <dgm:spPr/>
      <dgm:t>
        <a:bodyPr/>
        <a:lstStyle/>
        <a:p>
          <a:pPr rtl="1"/>
          <a:endParaRPr lang="ar-SA" sz="7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EDD4740F-59C1-431E-B8A3-0060E70558E1}" type="sibTrans" cxnId="{35854A19-365A-4084-A7AD-842AFD5F2C03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18DA72CA-59D6-47B3-B1DB-A8D443F7E908}">
      <dgm:prSet custT="1"/>
      <dgm:spPr/>
      <dgm:t>
        <a:bodyPr/>
        <a:lstStyle/>
        <a:p>
          <a:pPr rtl="1"/>
          <a:r>
            <a:rPr lang="ar-SA" sz="1200" dirty="0" smtClean="0">
              <a:cs typeface="PT Bold Heading" panose="02010400000000000000" pitchFamily="2" charset="-78"/>
            </a:rPr>
            <a:t>الاستئجار</a:t>
          </a:r>
          <a:endParaRPr lang="ar-SA" sz="1200" dirty="0">
            <a:cs typeface="PT Bold Heading" panose="02010400000000000000" pitchFamily="2" charset="-78"/>
          </a:endParaRPr>
        </a:p>
      </dgm:t>
    </dgm:pt>
    <dgm:pt modelId="{28A6ACF9-D044-4AC8-8EC7-FC0D970516E4}" type="parTrans" cxnId="{E902C09D-61E3-4FE1-9338-3DD6B91E8F1A}">
      <dgm:prSet custT="1"/>
      <dgm:spPr/>
      <dgm:t>
        <a:bodyPr/>
        <a:lstStyle/>
        <a:p>
          <a:pPr rtl="1"/>
          <a:endParaRPr lang="ar-SA" sz="7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F40DED7B-52D7-482D-872A-D56B7E3F60BE}" type="sibTrans" cxnId="{E902C09D-61E3-4FE1-9338-3DD6B91E8F1A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A699543D-CDF5-4362-A3B6-317EB5E1B63C}">
      <dgm:prSet custT="1"/>
      <dgm:spPr/>
      <dgm:t>
        <a:bodyPr/>
        <a:lstStyle/>
        <a:p>
          <a:pPr rtl="1"/>
          <a:r>
            <a:rPr lang="ar-SA" sz="1200" dirty="0" smtClean="0">
              <a:cs typeface="PT Bold Heading" panose="02010400000000000000" pitchFamily="2" charset="-78"/>
            </a:rPr>
            <a:t>الأسهم العادية والممتازة</a:t>
          </a:r>
          <a:endParaRPr lang="ar-SA" sz="1200" dirty="0">
            <a:cs typeface="PT Bold Heading" panose="02010400000000000000" pitchFamily="2" charset="-78"/>
          </a:endParaRPr>
        </a:p>
      </dgm:t>
    </dgm:pt>
    <dgm:pt modelId="{6A258027-27D0-42F0-B367-8D75AD8457D2}" type="parTrans" cxnId="{9869177E-FD46-456E-9BBA-D3B68676F29D}">
      <dgm:prSet custT="1"/>
      <dgm:spPr/>
      <dgm:t>
        <a:bodyPr/>
        <a:lstStyle/>
        <a:p>
          <a:pPr rtl="1"/>
          <a:endParaRPr lang="ar-SA" sz="7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D6875AB2-0A97-4330-932B-07506B3CFF8E}" type="sibTrans" cxnId="{9869177E-FD46-456E-9BBA-D3B68676F29D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918D28CC-073F-4FB4-8AC0-5AD33AD6F875}">
      <dgm:prSet custT="1"/>
      <dgm:spPr/>
      <dgm:t>
        <a:bodyPr/>
        <a:lstStyle/>
        <a:p>
          <a:pPr rtl="1"/>
          <a:r>
            <a:rPr lang="ar-SA" sz="1100" b="0" dirty="0" smtClean="0">
              <a:cs typeface="PT Bold Heading" panose="02010400000000000000" pitchFamily="2" charset="-78"/>
            </a:rPr>
            <a:t>الأرباح المحتجزة</a:t>
          </a:r>
          <a:endParaRPr lang="ar-SA" sz="1100" b="0" dirty="0">
            <a:cs typeface="PT Bold Heading" panose="02010400000000000000" pitchFamily="2" charset="-78"/>
          </a:endParaRPr>
        </a:p>
      </dgm:t>
    </dgm:pt>
    <dgm:pt modelId="{05AB4520-2D61-4B5C-BBE0-BD2CF3350597}" type="parTrans" cxnId="{862DC1ED-17A5-4ED7-A358-100B10E2D300}">
      <dgm:prSet custT="1"/>
      <dgm:spPr/>
      <dgm:t>
        <a:bodyPr/>
        <a:lstStyle/>
        <a:p>
          <a:pPr rtl="1"/>
          <a:endParaRPr lang="ar-SA" sz="7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40BB98C6-F274-46CC-A483-8C5EA8A6AA42}" type="sibTrans" cxnId="{862DC1ED-17A5-4ED7-A358-100B10E2D300}">
      <dgm:prSet/>
      <dgm:spPr/>
      <dgm:t>
        <a:bodyPr/>
        <a:lstStyle/>
        <a:p>
          <a:pPr rtl="1"/>
          <a:endParaRPr lang="ar-SA" sz="2400">
            <a:solidFill>
              <a:schemeClr val="tx1"/>
            </a:solidFill>
            <a:cs typeface="PT Bold Heading" panose="02010400000000000000" pitchFamily="2" charset="-78"/>
          </a:endParaRPr>
        </a:p>
      </dgm:t>
    </dgm:pt>
    <dgm:pt modelId="{98B36278-CDC5-47D9-8A7F-F929D13538D3}">
      <dgm:prSet custT="1"/>
      <dgm:spPr/>
      <dgm:t>
        <a:bodyPr/>
        <a:lstStyle/>
        <a:p>
          <a:pPr rtl="1"/>
          <a:r>
            <a:rPr lang="ar-SA" sz="1200" dirty="0" smtClean="0">
              <a:cs typeface="PT Bold Heading" panose="02010400000000000000" pitchFamily="2" charset="-78"/>
            </a:rPr>
            <a:t>القروض المصرفية</a:t>
          </a:r>
          <a:endParaRPr lang="ar-SA" sz="1200" dirty="0">
            <a:cs typeface="PT Bold Heading" panose="02010400000000000000" pitchFamily="2" charset="-78"/>
          </a:endParaRPr>
        </a:p>
      </dgm:t>
    </dgm:pt>
    <dgm:pt modelId="{D0BD5C82-D23D-4845-B5FD-64D38B483A54}" type="parTrans" cxnId="{343A69E8-76F1-47C9-86B9-DE0470B4E704}">
      <dgm:prSet/>
      <dgm:spPr/>
      <dgm:t>
        <a:bodyPr/>
        <a:lstStyle/>
        <a:p>
          <a:pPr rtl="1"/>
          <a:endParaRPr lang="ar-SA"/>
        </a:p>
      </dgm:t>
    </dgm:pt>
    <dgm:pt modelId="{104995E0-BB0D-4DD0-80F9-F5D9462E273E}" type="sibTrans" cxnId="{343A69E8-76F1-47C9-86B9-DE0470B4E704}">
      <dgm:prSet/>
      <dgm:spPr/>
      <dgm:t>
        <a:bodyPr/>
        <a:lstStyle/>
        <a:p>
          <a:pPr rtl="1"/>
          <a:endParaRPr lang="ar-SA"/>
        </a:p>
      </dgm:t>
    </dgm:pt>
    <dgm:pt modelId="{C4594213-9BD7-42B0-AC58-9B10F0000F39}">
      <dgm:prSet custT="1"/>
      <dgm:spPr/>
      <dgm:t>
        <a:bodyPr/>
        <a:lstStyle/>
        <a:p>
          <a:pPr rtl="1"/>
          <a:r>
            <a:rPr lang="ar-SA" sz="1200" dirty="0" smtClean="0">
              <a:cs typeface="PT Bold Heading" panose="02010400000000000000" pitchFamily="2" charset="-78"/>
            </a:rPr>
            <a:t>السندات</a:t>
          </a:r>
          <a:endParaRPr lang="ar-SA" sz="1200" dirty="0">
            <a:cs typeface="PT Bold Heading" panose="02010400000000000000" pitchFamily="2" charset="-78"/>
          </a:endParaRPr>
        </a:p>
      </dgm:t>
    </dgm:pt>
    <dgm:pt modelId="{0CC6AAD9-8100-441F-A90B-301BB04840E6}" type="parTrans" cxnId="{D62B8259-1735-4712-9ECE-E759220D6A59}">
      <dgm:prSet/>
      <dgm:spPr/>
      <dgm:t>
        <a:bodyPr/>
        <a:lstStyle/>
        <a:p>
          <a:pPr rtl="1"/>
          <a:endParaRPr lang="ar-SA"/>
        </a:p>
      </dgm:t>
    </dgm:pt>
    <dgm:pt modelId="{55E30706-071B-4E86-87C7-E72515A74947}" type="sibTrans" cxnId="{D62B8259-1735-4712-9ECE-E759220D6A59}">
      <dgm:prSet/>
      <dgm:spPr/>
      <dgm:t>
        <a:bodyPr/>
        <a:lstStyle/>
        <a:p>
          <a:pPr rtl="1"/>
          <a:endParaRPr lang="ar-SA"/>
        </a:p>
      </dgm:t>
    </dgm:pt>
    <dgm:pt modelId="{A406B4E3-2753-46E4-A7B7-C07BC7B0F6D8}" type="pres">
      <dgm:prSet presAssocID="{68BFC64D-63E5-4204-B187-1D9E76FF3327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B96068B3-EB8B-47CD-8867-2F230168E50B}" type="pres">
      <dgm:prSet presAssocID="{DF42A6ED-076F-47B6-90F1-7FF4557AE52A}" presName="root1" presStyleCnt="0"/>
      <dgm:spPr/>
      <dgm:t>
        <a:bodyPr/>
        <a:lstStyle/>
        <a:p>
          <a:pPr rtl="1"/>
          <a:endParaRPr lang="ar-SA"/>
        </a:p>
      </dgm:t>
    </dgm:pt>
    <dgm:pt modelId="{A56FFE14-76AE-4ED7-B03D-3BAD1937F84C}" type="pres">
      <dgm:prSet presAssocID="{DF42A6ED-076F-47B6-90F1-7FF4557AE52A}" presName="LevelOneTextNode" presStyleLbl="node0" presStyleIdx="0" presStyleCnt="1" custScaleX="166574" custScaleY="12438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0CECDF7-53DF-4855-82A9-7E7C3FFB5215}" type="pres">
      <dgm:prSet presAssocID="{DF42A6ED-076F-47B6-90F1-7FF4557AE52A}" presName="level2hierChild" presStyleCnt="0"/>
      <dgm:spPr/>
      <dgm:t>
        <a:bodyPr/>
        <a:lstStyle/>
        <a:p>
          <a:pPr rtl="1"/>
          <a:endParaRPr lang="ar-SA"/>
        </a:p>
      </dgm:t>
    </dgm:pt>
    <dgm:pt modelId="{CDF13F6C-B382-459E-8A6F-9D1D6DFD5E4B}" type="pres">
      <dgm:prSet presAssocID="{C70F540E-8EB1-4C92-997F-6FED0F3A6341}" presName="conn2-1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BDA8F263-F1AB-4401-A2DE-DEB01E6BF77A}" type="pres">
      <dgm:prSet presAssocID="{C70F540E-8EB1-4C92-997F-6FED0F3A6341}" presName="connTx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AE4EA237-DB96-4DDB-AB55-74501F59A51D}" type="pres">
      <dgm:prSet presAssocID="{EAB256EC-61DE-4727-8ECD-FE62F9D453CD}" presName="root2" presStyleCnt="0"/>
      <dgm:spPr/>
      <dgm:t>
        <a:bodyPr/>
        <a:lstStyle/>
        <a:p>
          <a:pPr rtl="1"/>
          <a:endParaRPr lang="ar-SA"/>
        </a:p>
      </dgm:t>
    </dgm:pt>
    <dgm:pt modelId="{4B600C5B-BBEC-400B-BE79-9EA99A350B9D}" type="pres">
      <dgm:prSet presAssocID="{EAB256EC-61DE-4727-8ECD-FE62F9D453CD}" presName="LevelTwoTextNode" presStyleLbl="node2" presStyleIdx="0" presStyleCnt="2" custScaleX="183562" custScaleY="156103" custLinFactY="-100000" custLinFactNeighborY="-123377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87FDCE95-509E-4B0A-B464-C0010C3B74B7}" type="pres">
      <dgm:prSet presAssocID="{EAB256EC-61DE-4727-8ECD-FE62F9D453CD}" presName="level3hierChild" presStyleCnt="0"/>
      <dgm:spPr/>
      <dgm:t>
        <a:bodyPr/>
        <a:lstStyle/>
        <a:p>
          <a:pPr rtl="1"/>
          <a:endParaRPr lang="ar-SA"/>
        </a:p>
      </dgm:t>
    </dgm:pt>
    <dgm:pt modelId="{8C5286FA-C9B6-4DD9-B4A9-030EC5994789}" type="pres">
      <dgm:prSet presAssocID="{9E5D9AE3-AB8C-4853-9052-4B3FC92DABF3}" presName="conn2-1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2BB55535-6AB3-495A-A429-26C3B7CCD5A0}" type="pres">
      <dgm:prSet presAssocID="{9E5D9AE3-AB8C-4853-9052-4B3FC92DABF3}" presName="connTx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C76C4BC5-5803-4CB3-8FE5-7B2DA6ECD9F1}" type="pres">
      <dgm:prSet presAssocID="{05FF7320-DF55-48DE-BBBA-C2DCE24AC4EA}" presName="root2" presStyleCnt="0"/>
      <dgm:spPr/>
      <dgm:t>
        <a:bodyPr/>
        <a:lstStyle/>
        <a:p>
          <a:pPr rtl="1"/>
          <a:endParaRPr lang="ar-SA"/>
        </a:p>
      </dgm:t>
    </dgm:pt>
    <dgm:pt modelId="{B0F31145-0B81-47C0-9B41-50963DF42276}" type="pres">
      <dgm:prSet presAssocID="{05FF7320-DF55-48DE-BBBA-C2DCE24AC4EA}" presName="LevelTwoTextNode" presStyleLbl="node2" presStyleIdx="1" presStyleCnt="2" custScaleX="183562" custScaleY="10579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2D2BF62-DB5A-4371-B770-BE37EE6B01F3}" type="pres">
      <dgm:prSet presAssocID="{05FF7320-DF55-48DE-BBBA-C2DCE24AC4EA}" presName="level3hierChild" presStyleCnt="0"/>
      <dgm:spPr/>
      <dgm:t>
        <a:bodyPr/>
        <a:lstStyle/>
        <a:p>
          <a:pPr rtl="1"/>
          <a:endParaRPr lang="ar-SA"/>
        </a:p>
      </dgm:t>
    </dgm:pt>
    <dgm:pt modelId="{C73C8792-DA68-45AA-AC61-35378D7C64DD}" type="pres">
      <dgm:prSet presAssocID="{28A6ACF9-D044-4AC8-8EC7-FC0D970516E4}" presName="conn2-1" presStyleLbl="parChTrans1D3" presStyleIdx="0" presStyleCnt="5"/>
      <dgm:spPr/>
      <dgm:t>
        <a:bodyPr/>
        <a:lstStyle/>
        <a:p>
          <a:pPr rtl="1"/>
          <a:endParaRPr lang="ar-SA"/>
        </a:p>
      </dgm:t>
    </dgm:pt>
    <dgm:pt modelId="{203362D3-5D23-4E7F-B571-55977B211D8E}" type="pres">
      <dgm:prSet presAssocID="{28A6ACF9-D044-4AC8-8EC7-FC0D970516E4}" presName="connTx" presStyleLbl="parChTrans1D3" presStyleIdx="0" presStyleCnt="5"/>
      <dgm:spPr/>
      <dgm:t>
        <a:bodyPr/>
        <a:lstStyle/>
        <a:p>
          <a:pPr rtl="1"/>
          <a:endParaRPr lang="ar-SA"/>
        </a:p>
      </dgm:t>
    </dgm:pt>
    <dgm:pt modelId="{1ABB7734-FF3F-4D85-9FC2-539156C124AB}" type="pres">
      <dgm:prSet presAssocID="{18DA72CA-59D6-47B3-B1DB-A8D443F7E908}" presName="root2" presStyleCnt="0"/>
      <dgm:spPr/>
      <dgm:t>
        <a:bodyPr/>
        <a:lstStyle/>
        <a:p>
          <a:pPr rtl="1"/>
          <a:endParaRPr lang="ar-SA"/>
        </a:p>
      </dgm:t>
    </dgm:pt>
    <dgm:pt modelId="{F9BDB1F5-C594-4A76-ADC2-6794063C4EB1}" type="pres">
      <dgm:prSet presAssocID="{18DA72CA-59D6-47B3-B1DB-A8D443F7E908}" presName="LevelTwoTextNode" presStyleLbl="node3" presStyleIdx="0" presStyleCnt="5" custScaleX="150380" custLinFactNeighborX="31734" custLinFactNeighborY="1406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0EC80F5-B695-40BC-8B88-FEC805E1FDBA}" type="pres">
      <dgm:prSet presAssocID="{18DA72CA-59D6-47B3-B1DB-A8D443F7E908}" presName="level3hierChild" presStyleCnt="0"/>
      <dgm:spPr/>
      <dgm:t>
        <a:bodyPr/>
        <a:lstStyle/>
        <a:p>
          <a:pPr rtl="1"/>
          <a:endParaRPr lang="ar-SA"/>
        </a:p>
      </dgm:t>
    </dgm:pt>
    <dgm:pt modelId="{C87994EB-79C7-4494-AF93-72FAD698EBD9}" type="pres">
      <dgm:prSet presAssocID="{D0BD5C82-D23D-4845-B5FD-64D38B483A54}" presName="conn2-1" presStyleLbl="parChTrans1D3" presStyleIdx="1" presStyleCnt="5"/>
      <dgm:spPr/>
      <dgm:t>
        <a:bodyPr/>
        <a:lstStyle/>
        <a:p>
          <a:pPr rtl="1"/>
          <a:endParaRPr lang="ar-SA"/>
        </a:p>
      </dgm:t>
    </dgm:pt>
    <dgm:pt modelId="{106EE41E-4C0C-4720-977C-71148B343D9D}" type="pres">
      <dgm:prSet presAssocID="{D0BD5C82-D23D-4845-B5FD-64D38B483A54}" presName="connTx" presStyleLbl="parChTrans1D3" presStyleIdx="1" presStyleCnt="5"/>
      <dgm:spPr/>
      <dgm:t>
        <a:bodyPr/>
        <a:lstStyle/>
        <a:p>
          <a:pPr rtl="1"/>
          <a:endParaRPr lang="ar-SA"/>
        </a:p>
      </dgm:t>
    </dgm:pt>
    <dgm:pt modelId="{86720FE0-A013-466A-B0BB-353F1EA20542}" type="pres">
      <dgm:prSet presAssocID="{98B36278-CDC5-47D9-8A7F-F929D13538D3}" presName="root2" presStyleCnt="0"/>
      <dgm:spPr/>
      <dgm:t>
        <a:bodyPr/>
        <a:lstStyle/>
        <a:p>
          <a:pPr rtl="1"/>
          <a:endParaRPr lang="ar-SA"/>
        </a:p>
      </dgm:t>
    </dgm:pt>
    <dgm:pt modelId="{0907EF86-3CFA-4559-A84D-BB94C137CEC1}" type="pres">
      <dgm:prSet presAssocID="{98B36278-CDC5-47D9-8A7F-F929D13538D3}" presName="LevelTwoTextNode" presStyleLbl="node3" presStyleIdx="1" presStyleCnt="5" custScaleX="15038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D0B714D-EC15-4AF4-BD09-478658231DA9}" type="pres">
      <dgm:prSet presAssocID="{98B36278-CDC5-47D9-8A7F-F929D13538D3}" presName="level3hierChild" presStyleCnt="0"/>
      <dgm:spPr/>
      <dgm:t>
        <a:bodyPr/>
        <a:lstStyle/>
        <a:p>
          <a:pPr rtl="1"/>
          <a:endParaRPr lang="ar-SA"/>
        </a:p>
      </dgm:t>
    </dgm:pt>
    <dgm:pt modelId="{AD4C3A9F-385D-45C3-842D-904F8DC89CBD}" type="pres">
      <dgm:prSet presAssocID="{0CC6AAD9-8100-441F-A90B-301BB04840E6}" presName="conn2-1" presStyleLbl="parChTrans1D3" presStyleIdx="2" presStyleCnt="5"/>
      <dgm:spPr/>
      <dgm:t>
        <a:bodyPr/>
        <a:lstStyle/>
        <a:p>
          <a:pPr rtl="1"/>
          <a:endParaRPr lang="ar-SA"/>
        </a:p>
      </dgm:t>
    </dgm:pt>
    <dgm:pt modelId="{0014CDA0-B337-4029-840D-8DE12488AF68}" type="pres">
      <dgm:prSet presAssocID="{0CC6AAD9-8100-441F-A90B-301BB04840E6}" presName="connTx" presStyleLbl="parChTrans1D3" presStyleIdx="2" presStyleCnt="5"/>
      <dgm:spPr/>
      <dgm:t>
        <a:bodyPr/>
        <a:lstStyle/>
        <a:p>
          <a:pPr rtl="1"/>
          <a:endParaRPr lang="ar-SA"/>
        </a:p>
      </dgm:t>
    </dgm:pt>
    <dgm:pt modelId="{D8867A71-D009-4B99-9926-57DB0BD2CC2D}" type="pres">
      <dgm:prSet presAssocID="{C4594213-9BD7-42B0-AC58-9B10F0000F39}" presName="root2" presStyleCnt="0"/>
      <dgm:spPr/>
      <dgm:t>
        <a:bodyPr/>
        <a:lstStyle/>
        <a:p>
          <a:pPr rtl="1"/>
          <a:endParaRPr lang="ar-SA"/>
        </a:p>
      </dgm:t>
    </dgm:pt>
    <dgm:pt modelId="{493EF6CB-4BC7-400F-BC92-33AD3DAAAA70}" type="pres">
      <dgm:prSet presAssocID="{C4594213-9BD7-42B0-AC58-9B10F0000F39}" presName="LevelTwoTextNode" presStyleLbl="node3" presStyleIdx="2" presStyleCnt="5" custScaleX="150380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771104B-4F7A-4707-BF66-6DEA115BD390}" type="pres">
      <dgm:prSet presAssocID="{C4594213-9BD7-42B0-AC58-9B10F0000F39}" presName="level3hierChild" presStyleCnt="0"/>
      <dgm:spPr/>
      <dgm:t>
        <a:bodyPr/>
        <a:lstStyle/>
        <a:p>
          <a:pPr rtl="1"/>
          <a:endParaRPr lang="ar-SA"/>
        </a:p>
      </dgm:t>
    </dgm:pt>
    <dgm:pt modelId="{C764D2D6-5DFF-44BE-B6F7-0E1C511CE340}" type="pres">
      <dgm:prSet presAssocID="{6A258027-27D0-42F0-B367-8D75AD8457D2}" presName="conn2-1" presStyleLbl="parChTrans1D3" presStyleIdx="3" presStyleCnt="5"/>
      <dgm:spPr/>
      <dgm:t>
        <a:bodyPr/>
        <a:lstStyle/>
        <a:p>
          <a:pPr rtl="1"/>
          <a:endParaRPr lang="ar-SA"/>
        </a:p>
      </dgm:t>
    </dgm:pt>
    <dgm:pt modelId="{A8949884-B3CF-48D7-AF41-978346FB8DD5}" type="pres">
      <dgm:prSet presAssocID="{6A258027-27D0-42F0-B367-8D75AD8457D2}" presName="connTx" presStyleLbl="parChTrans1D3" presStyleIdx="3" presStyleCnt="5"/>
      <dgm:spPr/>
      <dgm:t>
        <a:bodyPr/>
        <a:lstStyle/>
        <a:p>
          <a:pPr rtl="1"/>
          <a:endParaRPr lang="ar-SA"/>
        </a:p>
      </dgm:t>
    </dgm:pt>
    <dgm:pt modelId="{5092682B-FE4B-492C-B4F6-32F969B6B4D1}" type="pres">
      <dgm:prSet presAssocID="{A699543D-CDF5-4362-A3B6-317EB5E1B63C}" presName="root2" presStyleCnt="0"/>
      <dgm:spPr/>
      <dgm:t>
        <a:bodyPr/>
        <a:lstStyle/>
        <a:p>
          <a:pPr rtl="1"/>
          <a:endParaRPr lang="ar-SA"/>
        </a:p>
      </dgm:t>
    </dgm:pt>
    <dgm:pt modelId="{D7AC8040-21EB-49A4-8AD8-DC7AD2C33F02}" type="pres">
      <dgm:prSet presAssocID="{A699543D-CDF5-4362-A3B6-317EB5E1B63C}" presName="LevelTwoTextNode" presStyleLbl="node3" presStyleIdx="3" presStyleCnt="5" custScaleX="15850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6461D61-000E-41E6-BD9E-C72C282F5212}" type="pres">
      <dgm:prSet presAssocID="{A699543D-CDF5-4362-A3B6-317EB5E1B63C}" presName="level3hierChild" presStyleCnt="0"/>
      <dgm:spPr/>
      <dgm:t>
        <a:bodyPr/>
        <a:lstStyle/>
        <a:p>
          <a:pPr rtl="1"/>
          <a:endParaRPr lang="ar-SA"/>
        </a:p>
      </dgm:t>
    </dgm:pt>
    <dgm:pt modelId="{C369FECF-F5C7-468C-AC9B-A2BFC2A5CA6B}" type="pres">
      <dgm:prSet presAssocID="{05AB4520-2D61-4B5C-BBE0-BD2CF3350597}" presName="conn2-1" presStyleLbl="parChTrans1D3" presStyleIdx="4" presStyleCnt="5"/>
      <dgm:spPr/>
      <dgm:t>
        <a:bodyPr/>
        <a:lstStyle/>
        <a:p>
          <a:pPr rtl="1"/>
          <a:endParaRPr lang="ar-SA"/>
        </a:p>
      </dgm:t>
    </dgm:pt>
    <dgm:pt modelId="{4707485E-0752-49AE-9C36-55F24C36AC57}" type="pres">
      <dgm:prSet presAssocID="{05AB4520-2D61-4B5C-BBE0-BD2CF3350597}" presName="connTx" presStyleLbl="parChTrans1D3" presStyleIdx="4" presStyleCnt="5"/>
      <dgm:spPr/>
      <dgm:t>
        <a:bodyPr/>
        <a:lstStyle/>
        <a:p>
          <a:pPr rtl="1"/>
          <a:endParaRPr lang="ar-SA"/>
        </a:p>
      </dgm:t>
    </dgm:pt>
    <dgm:pt modelId="{1EE99B01-F995-4611-A442-08CCB65C5603}" type="pres">
      <dgm:prSet presAssocID="{918D28CC-073F-4FB4-8AC0-5AD33AD6F875}" presName="root2" presStyleCnt="0"/>
      <dgm:spPr/>
      <dgm:t>
        <a:bodyPr/>
        <a:lstStyle/>
        <a:p>
          <a:pPr rtl="1"/>
          <a:endParaRPr lang="ar-SA"/>
        </a:p>
      </dgm:t>
    </dgm:pt>
    <dgm:pt modelId="{57996129-7066-4C9B-814B-A5F494322C87}" type="pres">
      <dgm:prSet presAssocID="{918D28CC-073F-4FB4-8AC0-5AD33AD6F875}" presName="LevelTwoTextNode" presStyleLbl="node3" presStyleIdx="4" presStyleCnt="5" custScaleX="150380" custLinFactNeighborX="12865" custLinFactNeighborY="-843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6EC1162-47E5-47D5-8CB7-53BA4C01FCA6}" type="pres">
      <dgm:prSet presAssocID="{918D28CC-073F-4FB4-8AC0-5AD33AD6F875}" presName="level3hierChild" presStyleCnt="0"/>
      <dgm:spPr/>
      <dgm:t>
        <a:bodyPr/>
        <a:lstStyle/>
        <a:p>
          <a:pPr rtl="1"/>
          <a:endParaRPr lang="ar-SA"/>
        </a:p>
      </dgm:t>
    </dgm:pt>
  </dgm:ptLst>
  <dgm:cxnLst>
    <dgm:cxn modelId="{A007825A-DA14-4B3F-8496-76B2781589B2}" type="presOf" srcId="{6A258027-27D0-42F0-B367-8D75AD8457D2}" destId="{C764D2D6-5DFF-44BE-B6F7-0E1C511CE340}" srcOrd="0" destOrd="0" presId="urn:microsoft.com/office/officeart/2008/layout/HorizontalMultiLevelHierarchy"/>
    <dgm:cxn modelId="{BE769A7B-FD4A-4C5E-82B1-F6D8C370D1B5}" type="presOf" srcId="{9E5D9AE3-AB8C-4853-9052-4B3FC92DABF3}" destId="{2BB55535-6AB3-495A-A429-26C3B7CCD5A0}" srcOrd="1" destOrd="0" presId="urn:microsoft.com/office/officeart/2008/layout/HorizontalMultiLevelHierarchy"/>
    <dgm:cxn modelId="{4A42F095-BBE7-4D94-A0B0-F5AB9075FCAD}" type="presOf" srcId="{6A258027-27D0-42F0-B367-8D75AD8457D2}" destId="{A8949884-B3CF-48D7-AF41-978346FB8DD5}" srcOrd="1" destOrd="0" presId="urn:microsoft.com/office/officeart/2008/layout/HorizontalMultiLevelHierarchy"/>
    <dgm:cxn modelId="{6E4E104D-198F-471B-A975-1EF83EEE4A2B}" type="presOf" srcId="{68BFC64D-63E5-4204-B187-1D9E76FF3327}" destId="{A406B4E3-2753-46E4-A7B7-C07BC7B0F6D8}" srcOrd="0" destOrd="0" presId="urn:microsoft.com/office/officeart/2008/layout/HorizontalMultiLevelHierarchy"/>
    <dgm:cxn modelId="{6C2803E3-9CE2-44D6-BCD4-4A90F391139D}" type="presOf" srcId="{D0BD5C82-D23D-4845-B5FD-64D38B483A54}" destId="{C87994EB-79C7-4494-AF93-72FAD698EBD9}" srcOrd="0" destOrd="0" presId="urn:microsoft.com/office/officeart/2008/layout/HorizontalMultiLevelHierarchy"/>
    <dgm:cxn modelId="{20FCA3A6-A012-4FF6-838E-A5945C1FF697}" srcId="{DF42A6ED-076F-47B6-90F1-7FF4557AE52A}" destId="{EAB256EC-61DE-4727-8ECD-FE62F9D453CD}" srcOrd="0" destOrd="0" parTransId="{C70F540E-8EB1-4C92-997F-6FED0F3A6341}" sibTransId="{21D013F7-24D3-4B42-AE93-F7BF4F1EC6BD}"/>
    <dgm:cxn modelId="{76F2E2FF-F99F-4E2A-912E-4F0DA49F8C39}" type="presOf" srcId="{28A6ACF9-D044-4AC8-8EC7-FC0D970516E4}" destId="{203362D3-5D23-4E7F-B571-55977B211D8E}" srcOrd="1" destOrd="0" presId="urn:microsoft.com/office/officeart/2008/layout/HorizontalMultiLevelHierarchy"/>
    <dgm:cxn modelId="{B1FA0DC9-FF03-49A1-B9DE-B7AB43180F9C}" type="presOf" srcId="{C70F540E-8EB1-4C92-997F-6FED0F3A6341}" destId="{CDF13F6C-B382-459E-8A6F-9D1D6DFD5E4B}" srcOrd="0" destOrd="0" presId="urn:microsoft.com/office/officeart/2008/layout/HorizontalMultiLevelHierarchy"/>
    <dgm:cxn modelId="{4CAF4D51-D909-4FB4-A632-E0E3E16B0AA0}" type="presOf" srcId="{98B36278-CDC5-47D9-8A7F-F929D13538D3}" destId="{0907EF86-3CFA-4559-A84D-BB94C137CEC1}" srcOrd="0" destOrd="0" presId="urn:microsoft.com/office/officeart/2008/layout/HorizontalMultiLevelHierarchy"/>
    <dgm:cxn modelId="{0434C656-B54C-4F91-90BF-C43464D6B217}" type="presOf" srcId="{D0BD5C82-D23D-4845-B5FD-64D38B483A54}" destId="{106EE41E-4C0C-4720-977C-71148B343D9D}" srcOrd="1" destOrd="0" presId="urn:microsoft.com/office/officeart/2008/layout/HorizontalMultiLevelHierarchy"/>
    <dgm:cxn modelId="{6CEB53F2-1144-410C-BC45-94412FDA187F}" type="presOf" srcId="{C70F540E-8EB1-4C92-997F-6FED0F3A6341}" destId="{BDA8F263-F1AB-4401-A2DE-DEB01E6BF77A}" srcOrd="1" destOrd="0" presId="urn:microsoft.com/office/officeart/2008/layout/HorizontalMultiLevelHierarchy"/>
    <dgm:cxn modelId="{A1F45A9A-2141-4254-8B8F-773DC0014C97}" type="presOf" srcId="{05FF7320-DF55-48DE-BBBA-C2DCE24AC4EA}" destId="{B0F31145-0B81-47C0-9B41-50963DF42276}" srcOrd="0" destOrd="0" presId="urn:microsoft.com/office/officeart/2008/layout/HorizontalMultiLevelHierarchy"/>
    <dgm:cxn modelId="{1F4B8225-7C98-4AA6-994C-FE7B06F83087}" type="presOf" srcId="{9E5D9AE3-AB8C-4853-9052-4B3FC92DABF3}" destId="{8C5286FA-C9B6-4DD9-B4A9-030EC5994789}" srcOrd="0" destOrd="0" presId="urn:microsoft.com/office/officeart/2008/layout/HorizontalMultiLevelHierarchy"/>
    <dgm:cxn modelId="{68E71AFD-CAB2-475B-93E9-9A9A7BB4D757}" type="presOf" srcId="{28A6ACF9-D044-4AC8-8EC7-FC0D970516E4}" destId="{C73C8792-DA68-45AA-AC61-35378D7C64DD}" srcOrd="0" destOrd="0" presId="urn:microsoft.com/office/officeart/2008/layout/HorizontalMultiLevelHierarchy"/>
    <dgm:cxn modelId="{E902C09D-61E3-4FE1-9338-3DD6B91E8F1A}" srcId="{05FF7320-DF55-48DE-BBBA-C2DCE24AC4EA}" destId="{18DA72CA-59D6-47B3-B1DB-A8D443F7E908}" srcOrd="0" destOrd="0" parTransId="{28A6ACF9-D044-4AC8-8EC7-FC0D970516E4}" sibTransId="{F40DED7B-52D7-482D-872A-D56B7E3F60BE}"/>
    <dgm:cxn modelId="{A967BE3B-439B-4E67-B71D-82DB9924055B}" srcId="{68BFC64D-63E5-4204-B187-1D9E76FF3327}" destId="{DF42A6ED-076F-47B6-90F1-7FF4557AE52A}" srcOrd="0" destOrd="0" parTransId="{DBDDEC27-DD72-4FFB-B8CE-7418FBA1AA94}" sibTransId="{52A7E3EA-51A9-4407-82BA-5F21CE551863}"/>
    <dgm:cxn modelId="{35854A19-365A-4084-A7AD-842AFD5F2C03}" srcId="{DF42A6ED-076F-47B6-90F1-7FF4557AE52A}" destId="{05FF7320-DF55-48DE-BBBA-C2DCE24AC4EA}" srcOrd="1" destOrd="0" parTransId="{9E5D9AE3-AB8C-4853-9052-4B3FC92DABF3}" sibTransId="{EDD4740F-59C1-431E-B8A3-0060E70558E1}"/>
    <dgm:cxn modelId="{9869177E-FD46-456E-9BBA-D3B68676F29D}" srcId="{05FF7320-DF55-48DE-BBBA-C2DCE24AC4EA}" destId="{A699543D-CDF5-4362-A3B6-317EB5E1B63C}" srcOrd="3" destOrd="0" parTransId="{6A258027-27D0-42F0-B367-8D75AD8457D2}" sibTransId="{D6875AB2-0A97-4330-932B-07506B3CFF8E}"/>
    <dgm:cxn modelId="{D62B8259-1735-4712-9ECE-E759220D6A59}" srcId="{05FF7320-DF55-48DE-BBBA-C2DCE24AC4EA}" destId="{C4594213-9BD7-42B0-AC58-9B10F0000F39}" srcOrd="2" destOrd="0" parTransId="{0CC6AAD9-8100-441F-A90B-301BB04840E6}" sibTransId="{55E30706-071B-4E86-87C7-E72515A74947}"/>
    <dgm:cxn modelId="{56EFE593-7C7E-4071-88EB-CCEBD343FAE7}" type="presOf" srcId="{18DA72CA-59D6-47B3-B1DB-A8D443F7E908}" destId="{F9BDB1F5-C594-4A76-ADC2-6794063C4EB1}" srcOrd="0" destOrd="0" presId="urn:microsoft.com/office/officeart/2008/layout/HorizontalMultiLevelHierarchy"/>
    <dgm:cxn modelId="{FB57C642-4F28-48C5-8259-3EDB7B8E042A}" type="presOf" srcId="{C4594213-9BD7-42B0-AC58-9B10F0000F39}" destId="{493EF6CB-4BC7-400F-BC92-33AD3DAAAA70}" srcOrd="0" destOrd="0" presId="urn:microsoft.com/office/officeart/2008/layout/HorizontalMultiLevelHierarchy"/>
    <dgm:cxn modelId="{3007EDB5-A260-47AF-9F21-059BFED58318}" type="presOf" srcId="{0CC6AAD9-8100-441F-A90B-301BB04840E6}" destId="{0014CDA0-B337-4029-840D-8DE12488AF68}" srcOrd="1" destOrd="0" presId="urn:microsoft.com/office/officeart/2008/layout/HorizontalMultiLevelHierarchy"/>
    <dgm:cxn modelId="{9FF25A3C-9A33-42E1-95B9-E13D9449D21E}" type="presOf" srcId="{DF42A6ED-076F-47B6-90F1-7FF4557AE52A}" destId="{A56FFE14-76AE-4ED7-B03D-3BAD1937F84C}" srcOrd="0" destOrd="0" presId="urn:microsoft.com/office/officeart/2008/layout/HorizontalMultiLevelHierarchy"/>
    <dgm:cxn modelId="{923D911F-C5DE-48ED-ABAD-F50CC688E99C}" type="presOf" srcId="{A699543D-CDF5-4362-A3B6-317EB5E1B63C}" destId="{D7AC8040-21EB-49A4-8AD8-DC7AD2C33F02}" srcOrd="0" destOrd="0" presId="urn:microsoft.com/office/officeart/2008/layout/HorizontalMultiLevelHierarchy"/>
    <dgm:cxn modelId="{50724323-56A2-4EB4-BEC6-784329295705}" type="presOf" srcId="{918D28CC-073F-4FB4-8AC0-5AD33AD6F875}" destId="{57996129-7066-4C9B-814B-A5F494322C87}" srcOrd="0" destOrd="0" presId="urn:microsoft.com/office/officeart/2008/layout/HorizontalMultiLevelHierarchy"/>
    <dgm:cxn modelId="{8923921D-DB67-4E1C-97C2-DA7472F7C22C}" type="presOf" srcId="{05AB4520-2D61-4B5C-BBE0-BD2CF3350597}" destId="{4707485E-0752-49AE-9C36-55F24C36AC57}" srcOrd="1" destOrd="0" presId="urn:microsoft.com/office/officeart/2008/layout/HorizontalMultiLevelHierarchy"/>
    <dgm:cxn modelId="{11BAA841-592F-4E6D-B4B9-D7F634FDC94B}" type="presOf" srcId="{EAB256EC-61DE-4727-8ECD-FE62F9D453CD}" destId="{4B600C5B-BBEC-400B-BE79-9EA99A350B9D}" srcOrd="0" destOrd="0" presId="urn:microsoft.com/office/officeart/2008/layout/HorizontalMultiLevelHierarchy"/>
    <dgm:cxn modelId="{862DC1ED-17A5-4ED7-A358-100B10E2D300}" srcId="{05FF7320-DF55-48DE-BBBA-C2DCE24AC4EA}" destId="{918D28CC-073F-4FB4-8AC0-5AD33AD6F875}" srcOrd="4" destOrd="0" parTransId="{05AB4520-2D61-4B5C-BBE0-BD2CF3350597}" sibTransId="{40BB98C6-F274-46CC-A483-8C5EA8A6AA42}"/>
    <dgm:cxn modelId="{343A69E8-76F1-47C9-86B9-DE0470B4E704}" srcId="{05FF7320-DF55-48DE-BBBA-C2DCE24AC4EA}" destId="{98B36278-CDC5-47D9-8A7F-F929D13538D3}" srcOrd="1" destOrd="0" parTransId="{D0BD5C82-D23D-4845-B5FD-64D38B483A54}" sibTransId="{104995E0-BB0D-4DD0-80F9-F5D9462E273E}"/>
    <dgm:cxn modelId="{23294325-0421-4D34-A2F4-2178B1EC2248}" type="presOf" srcId="{0CC6AAD9-8100-441F-A90B-301BB04840E6}" destId="{AD4C3A9F-385D-45C3-842D-904F8DC89CBD}" srcOrd="0" destOrd="0" presId="urn:microsoft.com/office/officeart/2008/layout/HorizontalMultiLevelHierarchy"/>
    <dgm:cxn modelId="{C569EDCE-C770-42E2-83F9-EF5D4D9F917B}" type="presOf" srcId="{05AB4520-2D61-4B5C-BBE0-BD2CF3350597}" destId="{C369FECF-F5C7-468C-AC9B-A2BFC2A5CA6B}" srcOrd="0" destOrd="0" presId="urn:microsoft.com/office/officeart/2008/layout/HorizontalMultiLevelHierarchy"/>
    <dgm:cxn modelId="{D5625DA3-BDC9-4F43-B442-41D076B4C638}" type="presParOf" srcId="{A406B4E3-2753-46E4-A7B7-C07BC7B0F6D8}" destId="{B96068B3-EB8B-47CD-8867-2F230168E50B}" srcOrd="0" destOrd="0" presId="urn:microsoft.com/office/officeart/2008/layout/HorizontalMultiLevelHierarchy"/>
    <dgm:cxn modelId="{47B9F705-C843-4E25-81D1-81DE8D36BA56}" type="presParOf" srcId="{B96068B3-EB8B-47CD-8867-2F230168E50B}" destId="{A56FFE14-76AE-4ED7-B03D-3BAD1937F84C}" srcOrd="0" destOrd="0" presId="urn:microsoft.com/office/officeart/2008/layout/HorizontalMultiLevelHierarchy"/>
    <dgm:cxn modelId="{00BAEBF5-AD12-44AB-B5BE-9E1B1A9E28C1}" type="presParOf" srcId="{B96068B3-EB8B-47CD-8867-2F230168E50B}" destId="{20CECDF7-53DF-4855-82A9-7E7C3FFB5215}" srcOrd="1" destOrd="0" presId="urn:microsoft.com/office/officeart/2008/layout/HorizontalMultiLevelHierarchy"/>
    <dgm:cxn modelId="{4718CAB5-4272-4A93-B7CC-C0460A8395B4}" type="presParOf" srcId="{20CECDF7-53DF-4855-82A9-7E7C3FFB5215}" destId="{CDF13F6C-B382-459E-8A6F-9D1D6DFD5E4B}" srcOrd="0" destOrd="0" presId="urn:microsoft.com/office/officeart/2008/layout/HorizontalMultiLevelHierarchy"/>
    <dgm:cxn modelId="{6E33F621-E0A2-4573-81BD-F4C496260B93}" type="presParOf" srcId="{CDF13F6C-B382-459E-8A6F-9D1D6DFD5E4B}" destId="{BDA8F263-F1AB-4401-A2DE-DEB01E6BF77A}" srcOrd="0" destOrd="0" presId="urn:microsoft.com/office/officeart/2008/layout/HorizontalMultiLevelHierarchy"/>
    <dgm:cxn modelId="{64A4CC7D-1B98-46D3-883D-F9D04C4C234F}" type="presParOf" srcId="{20CECDF7-53DF-4855-82A9-7E7C3FFB5215}" destId="{AE4EA237-DB96-4DDB-AB55-74501F59A51D}" srcOrd="1" destOrd="0" presId="urn:microsoft.com/office/officeart/2008/layout/HorizontalMultiLevelHierarchy"/>
    <dgm:cxn modelId="{37F30A98-2270-486B-A4B7-EF6D0810012C}" type="presParOf" srcId="{AE4EA237-DB96-4DDB-AB55-74501F59A51D}" destId="{4B600C5B-BBEC-400B-BE79-9EA99A350B9D}" srcOrd="0" destOrd="0" presId="urn:microsoft.com/office/officeart/2008/layout/HorizontalMultiLevelHierarchy"/>
    <dgm:cxn modelId="{BFA108EC-F727-4A34-AB48-9031E023DD5A}" type="presParOf" srcId="{AE4EA237-DB96-4DDB-AB55-74501F59A51D}" destId="{87FDCE95-509E-4B0A-B464-C0010C3B74B7}" srcOrd="1" destOrd="0" presId="urn:microsoft.com/office/officeart/2008/layout/HorizontalMultiLevelHierarchy"/>
    <dgm:cxn modelId="{4161C4F3-3F11-4315-A879-D779C596A63D}" type="presParOf" srcId="{20CECDF7-53DF-4855-82A9-7E7C3FFB5215}" destId="{8C5286FA-C9B6-4DD9-B4A9-030EC5994789}" srcOrd="2" destOrd="0" presId="urn:microsoft.com/office/officeart/2008/layout/HorizontalMultiLevelHierarchy"/>
    <dgm:cxn modelId="{C6BDBE51-5207-4026-9C58-12E89E04806E}" type="presParOf" srcId="{8C5286FA-C9B6-4DD9-B4A9-030EC5994789}" destId="{2BB55535-6AB3-495A-A429-26C3B7CCD5A0}" srcOrd="0" destOrd="0" presId="urn:microsoft.com/office/officeart/2008/layout/HorizontalMultiLevelHierarchy"/>
    <dgm:cxn modelId="{89EF8275-B899-4B32-AD38-1D7DB1D14E7C}" type="presParOf" srcId="{20CECDF7-53DF-4855-82A9-7E7C3FFB5215}" destId="{C76C4BC5-5803-4CB3-8FE5-7B2DA6ECD9F1}" srcOrd="3" destOrd="0" presId="urn:microsoft.com/office/officeart/2008/layout/HorizontalMultiLevelHierarchy"/>
    <dgm:cxn modelId="{E3B27091-943C-42BC-9674-3B06689CBFFC}" type="presParOf" srcId="{C76C4BC5-5803-4CB3-8FE5-7B2DA6ECD9F1}" destId="{B0F31145-0B81-47C0-9B41-50963DF42276}" srcOrd="0" destOrd="0" presId="urn:microsoft.com/office/officeart/2008/layout/HorizontalMultiLevelHierarchy"/>
    <dgm:cxn modelId="{3BAB1CBA-82DB-43C9-930A-A27D9E01B510}" type="presParOf" srcId="{C76C4BC5-5803-4CB3-8FE5-7B2DA6ECD9F1}" destId="{A2D2BF62-DB5A-4371-B770-BE37EE6B01F3}" srcOrd="1" destOrd="0" presId="urn:microsoft.com/office/officeart/2008/layout/HorizontalMultiLevelHierarchy"/>
    <dgm:cxn modelId="{89954C2C-543F-4558-B2A3-D20447968632}" type="presParOf" srcId="{A2D2BF62-DB5A-4371-B770-BE37EE6B01F3}" destId="{C73C8792-DA68-45AA-AC61-35378D7C64DD}" srcOrd="0" destOrd="0" presId="urn:microsoft.com/office/officeart/2008/layout/HorizontalMultiLevelHierarchy"/>
    <dgm:cxn modelId="{9C79CB27-7FE9-4086-B8BE-FED11FBEF31A}" type="presParOf" srcId="{C73C8792-DA68-45AA-AC61-35378D7C64DD}" destId="{203362D3-5D23-4E7F-B571-55977B211D8E}" srcOrd="0" destOrd="0" presId="urn:microsoft.com/office/officeart/2008/layout/HorizontalMultiLevelHierarchy"/>
    <dgm:cxn modelId="{AA3003E8-90E1-4EA9-98E3-DFEC522A04C6}" type="presParOf" srcId="{A2D2BF62-DB5A-4371-B770-BE37EE6B01F3}" destId="{1ABB7734-FF3F-4D85-9FC2-539156C124AB}" srcOrd="1" destOrd="0" presId="urn:microsoft.com/office/officeart/2008/layout/HorizontalMultiLevelHierarchy"/>
    <dgm:cxn modelId="{DDCF92AA-A1CA-4983-8A99-9C39D51D6B29}" type="presParOf" srcId="{1ABB7734-FF3F-4D85-9FC2-539156C124AB}" destId="{F9BDB1F5-C594-4A76-ADC2-6794063C4EB1}" srcOrd="0" destOrd="0" presId="urn:microsoft.com/office/officeart/2008/layout/HorizontalMultiLevelHierarchy"/>
    <dgm:cxn modelId="{A3ED34EB-3645-4540-89AB-5E00BEF5F896}" type="presParOf" srcId="{1ABB7734-FF3F-4D85-9FC2-539156C124AB}" destId="{40EC80F5-B695-40BC-8B88-FEC805E1FDBA}" srcOrd="1" destOrd="0" presId="urn:microsoft.com/office/officeart/2008/layout/HorizontalMultiLevelHierarchy"/>
    <dgm:cxn modelId="{B550B73E-7025-4730-8602-F12ACA13DDF6}" type="presParOf" srcId="{A2D2BF62-DB5A-4371-B770-BE37EE6B01F3}" destId="{C87994EB-79C7-4494-AF93-72FAD698EBD9}" srcOrd="2" destOrd="0" presId="urn:microsoft.com/office/officeart/2008/layout/HorizontalMultiLevelHierarchy"/>
    <dgm:cxn modelId="{9E84CE28-BCC5-4BCD-B7C6-26CD2697D84B}" type="presParOf" srcId="{C87994EB-79C7-4494-AF93-72FAD698EBD9}" destId="{106EE41E-4C0C-4720-977C-71148B343D9D}" srcOrd="0" destOrd="0" presId="urn:microsoft.com/office/officeart/2008/layout/HorizontalMultiLevelHierarchy"/>
    <dgm:cxn modelId="{270534B0-DB74-4D0D-A786-27FAE80771AD}" type="presParOf" srcId="{A2D2BF62-DB5A-4371-B770-BE37EE6B01F3}" destId="{86720FE0-A013-466A-B0BB-353F1EA20542}" srcOrd="3" destOrd="0" presId="urn:microsoft.com/office/officeart/2008/layout/HorizontalMultiLevelHierarchy"/>
    <dgm:cxn modelId="{5D88B0E6-2353-4BA1-AE89-5CFA2E169700}" type="presParOf" srcId="{86720FE0-A013-466A-B0BB-353F1EA20542}" destId="{0907EF86-3CFA-4559-A84D-BB94C137CEC1}" srcOrd="0" destOrd="0" presId="urn:microsoft.com/office/officeart/2008/layout/HorizontalMultiLevelHierarchy"/>
    <dgm:cxn modelId="{EE1227C8-9D3E-4D7D-883C-DF6EB39355A7}" type="presParOf" srcId="{86720FE0-A013-466A-B0BB-353F1EA20542}" destId="{3D0B714D-EC15-4AF4-BD09-478658231DA9}" srcOrd="1" destOrd="0" presId="urn:microsoft.com/office/officeart/2008/layout/HorizontalMultiLevelHierarchy"/>
    <dgm:cxn modelId="{F93461CE-21EA-4EBC-A895-A59699D3EC59}" type="presParOf" srcId="{A2D2BF62-DB5A-4371-B770-BE37EE6B01F3}" destId="{AD4C3A9F-385D-45C3-842D-904F8DC89CBD}" srcOrd="4" destOrd="0" presId="urn:microsoft.com/office/officeart/2008/layout/HorizontalMultiLevelHierarchy"/>
    <dgm:cxn modelId="{ED23A35F-EE41-4C63-AE1E-4FAAE362B66D}" type="presParOf" srcId="{AD4C3A9F-385D-45C3-842D-904F8DC89CBD}" destId="{0014CDA0-B337-4029-840D-8DE12488AF68}" srcOrd="0" destOrd="0" presId="urn:microsoft.com/office/officeart/2008/layout/HorizontalMultiLevelHierarchy"/>
    <dgm:cxn modelId="{48A2832C-CC2C-48E4-8E99-18E31C53980E}" type="presParOf" srcId="{A2D2BF62-DB5A-4371-B770-BE37EE6B01F3}" destId="{D8867A71-D009-4B99-9926-57DB0BD2CC2D}" srcOrd="5" destOrd="0" presId="urn:microsoft.com/office/officeart/2008/layout/HorizontalMultiLevelHierarchy"/>
    <dgm:cxn modelId="{767CF367-A9DB-46C4-AAFB-0E10FF2183D7}" type="presParOf" srcId="{D8867A71-D009-4B99-9926-57DB0BD2CC2D}" destId="{493EF6CB-4BC7-400F-BC92-33AD3DAAAA70}" srcOrd="0" destOrd="0" presId="urn:microsoft.com/office/officeart/2008/layout/HorizontalMultiLevelHierarchy"/>
    <dgm:cxn modelId="{B64A9714-9AB6-4518-8BBB-B3538A030297}" type="presParOf" srcId="{D8867A71-D009-4B99-9926-57DB0BD2CC2D}" destId="{D771104B-4F7A-4707-BF66-6DEA115BD390}" srcOrd="1" destOrd="0" presId="urn:microsoft.com/office/officeart/2008/layout/HorizontalMultiLevelHierarchy"/>
    <dgm:cxn modelId="{65CC60B5-6310-4642-8FDD-3B7F3CBF2F5D}" type="presParOf" srcId="{A2D2BF62-DB5A-4371-B770-BE37EE6B01F3}" destId="{C764D2D6-5DFF-44BE-B6F7-0E1C511CE340}" srcOrd="6" destOrd="0" presId="urn:microsoft.com/office/officeart/2008/layout/HorizontalMultiLevelHierarchy"/>
    <dgm:cxn modelId="{EA16781B-DD80-499D-B23E-5601831968FD}" type="presParOf" srcId="{C764D2D6-5DFF-44BE-B6F7-0E1C511CE340}" destId="{A8949884-B3CF-48D7-AF41-978346FB8DD5}" srcOrd="0" destOrd="0" presId="urn:microsoft.com/office/officeart/2008/layout/HorizontalMultiLevelHierarchy"/>
    <dgm:cxn modelId="{01E8D6BA-0385-4551-968F-737C23234F89}" type="presParOf" srcId="{A2D2BF62-DB5A-4371-B770-BE37EE6B01F3}" destId="{5092682B-FE4B-492C-B4F6-32F969B6B4D1}" srcOrd="7" destOrd="0" presId="urn:microsoft.com/office/officeart/2008/layout/HorizontalMultiLevelHierarchy"/>
    <dgm:cxn modelId="{E91B8C29-64B6-49D6-8A60-B511CE54D1A6}" type="presParOf" srcId="{5092682B-FE4B-492C-B4F6-32F969B6B4D1}" destId="{D7AC8040-21EB-49A4-8AD8-DC7AD2C33F02}" srcOrd="0" destOrd="0" presId="urn:microsoft.com/office/officeart/2008/layout/HorizontalMultiLevelHierarchy"/>
    <dgm:cxn modelId="{CAAAC597-9881-4C80-A524-477C5CFB3EE3}" type="presParOf" srcId="{5092682B-FE4B-492C-B4F6-32F969B6B4D1}" destId="{66461D61-000E-41E6-BD9E-C72C282F5212}" srcOrd="1" destOrd="0" presId="urn:microsoft.com/office/officeart/2008/layout/HorizontalMultiLevelHierarchy"/>
    <dgm:cxn modelId="{2842E96B-387D-46C8-8DD1-B5AB868C3117}" type="presParOf" srcId="{A2D2BF62-DB5A-4371-B770-BE37EE6B01F3}" destId="{C369FECF-F5C7-468C-AC9B-A2BFC2A5CA6B}" srcOrd="8" destOrd="0" presId="urn:microsoft.com/office/officeart/2008/layout/HorizontalMultiLevelHierarchy"/>
    <dgm:cxn modelId="{C7F6A869-BF9A-4BCA-B689-22B7E44FDCE0}" type="presParOf" srcId="{C369FECF-F5C7-468C-AC9B-A2BFC2A5CA6B}" destId="{4707485E-0752-49AE-9C36-55F24C36AC57}" srcOrd="0" destOrd="0" presId="urn:microsoft.com/office/officeart/2008/layout/HorizontalMultiLevelHierarchy"/>
    <dgm:cxn modelId="{69F6874D-6E3F-4AE2-BCD3-749C4AEFA3EB}" type="presParOf" srcId="{A2D2BF62-DB5A-4371-B770-BE37EE6B01F3}" destId="{1EE99B01-F995-4611-A442-08CCB65C5603}" srcOrd="9" destOrd="0" presId="urn:microsoft.com/office/officeart/2008/layout/HorizontalMultiLevelHierarchy"/>
    <dgm:cxn modelId="{B7DB6844-3B8F-4E4B-BE65-5E79050B0514}" type="presParOf" srcId="{1EE99B01-F995-4611-A442-08CCB65C5603}" destId="{57996129-7066-4C9B-814B-A5F494322C87}" srcOrd="0" destOrd="0" presId="urn:microsoft.com/office/officeart/2008/layout/HorizontalMultiLevelHierarchy"/>
    <dgm:cxn modelId="{01E1C68B-CD51-4C56-AC62-C7FD59D7F680}" type="presParOf" srcId="{1EE99B01-F995-4611-A442-08CCB65C5603}" destId="{96EC1162-47E5-47D5-8CB7-53BA4C01FCA6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69FECF-F5C7-468C-AC9B-A2BFC2A5CA6B}">
      <dsp:nvSpPr>
        <dsp:cNvPr id="0" name=""/>
        <dsp:cNvSpPr/>
      </dsp:nvSpPr>
      <dsp:spPr>
        <a:xfrm>
          <a:off x="2454970" y="1348169"/>
          <a:ext cx="273427" cy="7102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36713" y="0"/>
              </a:lnTo>
              <a:lnTo>
                <a:pt x="136713" y="710215"/>
              </a:lnTo>
              <a:lnTo>
                <a:pt x="273427" y="710215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>
            <a:solidFill>
              <a:schemeClr val="tx1"/>
            </a:solidFill>
            <a:cs typeface="PT Bold Heading" panose="02010400000000000000" pitchFamily="2" charset="-78"/>
          </a:endParaRPr>
        </a:p>
      </dsp:txBody>
      <dsp:txXfrm>
        <a:off x="2572658" y="1684251"/>
        <a:ext cx="38051" cy="38051"/>
      </dsp:txXfrm>
    </dsp:sp>
    <dsp:sp modelId="{C764D2D6-5DFF-44BE-B6F7-0E1C511CE340}">
      <dsp:nvSpPr>
        <dsp:cNvPr id="0" name=""/>
        <dsp:cNvSpPr/>
      </dsp:nvSpPr>
      <dsp:spPr>
        <a:xfrm>
          <a:off x="2454970" y="1348169"/>
          <a:ext cx="192871" cy="3675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6435" y="0"/>
              </a:lnTo>
              <a:lnTo>
                <a:pt x="96435" y="367513"/>
              </a:lnTo>
              <a:lnTo>
                <a:pt x="192871" y="367513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>
            <a:solidFill>
              <a:schemeClr val="tx1"/>
            </a:solidFill>
            <a:cs typeface="PT Bold Heading" panose="02010400000000000000" pitchFamily="2" charset="-78"/>
          </a:endParaRPr>
        </a:p>
      </dsp:txBody>
      <dsp:txXfrm>
        <a:off x="2541029" y="1521549"/>
        <a:ext cx="20752" cy="20752"/>
      </dsp:txXfrm>
    </dsp:sp>
    <dsp:sp modelId="{AD4C3A9F-385D-45C3-842D-904F8DC89CBD}">
      <dsp:nvSpPr>
        <dsp:cNvPr id="0" name=""/>
        <dsp:cNvSpPr/>
      </dsp:nvSpPr>
      <dsp:spPr>
        <a:xfrm>
          <a:off x="2454970" y="1302449"/>
          <a:ext cx="192871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92871" y="45720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546583" y="1343347"/>
        <a:ext cx="9643" cy="9643"/>
      </dsp:txXfrm>
    </dsp:sp>
    <dsp:sp modelId="{C87994EB-79C7-4494-AF93-72FAD698EBD9}">
      <dsp:nvSpPr>
        <dsp:cNvPr id="0" name=""/>
        <dsp:cNvSpPr/>
      </dsp:nvSpPr>
      <dsp:spPr>
        <a:xfrm>
          <a:off x="2454970" y="980655"/>
          <a:ext cx="192871" cy="367513"/>
        </a:xfrm>
        <a:custGeom>
          <a:avLst/>
          <a:gdLst/>
          <a:ahLst/>
          <a:cxnLst/>
          <a:rect l="0" t="0" r="0" b="0"/>
          <a:pathLst>
            <a:path>
              <a:moveTo>
                <a:pt x="0" y="367513"/>
              </a:moveTo>
              <a:lnTo>
                <a:pt x="96435" y="367513"/>
              </a:lnTo>
              <a:lnTo>
                <a:pt x="96435" y="0"/>
              </a:lnTo>
              <a:lnTo>
                <a:pt x="192871" y="0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541029" y="1154036"/>
        <a:ext cx="20752" cy="20752"/>
      </dsp:txXfrm>
    </dsp:sp>
    <dsp:sp modelId="{C73C8792-DA68-45AA-AC61-35378D7C64DD}">
      <dsp:nvSpPr>
        <dsp:cNvPr id="0" name=""/>
        <dsp:cNvSpPr/>
      </dsp:nvSpPr>
      <dsp:spPr>
        <a:xfrm>
          <a:off x="2454970" y="654497"/>
          <a:ext cx="273427" cy="693671"/>
        </a:xfrm>
        <a:custGeom>
          <a:avLst/>
          <a:gdLst/>
          <a:ahLst/>
          <a:cxnLst/>
          <a:rect l="0" t="0" r="0" b="0"/>
          <a:pathLst>
            <a:path>
              <a:moveTo>
                <a:pt x="0" y="693671"/>
              </a:moveTo>
              <a:lnTo>
                <a:pt x="136713" y="693671"/>
              </a:lnTo>
              <a:lnTo>
                <a:pt x="136713" y="0"/>
              </a:lnTo>
              <a:lnTo>
                <a:pt x="273427" y="0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>
            <a:solidFill>
              <a:schemeClr val="tx1"/>
            </a:solidFill>
            <a:cs typeface="PT Bold Heading" panose="02010400000000000000" pitchFamily="2" charset="-78"/>
          </a:endParaRPr>
        </a:p>
      </dsp:txBody>
      <dsp:txXfrm>
        <a:off x="2573043" y="982693"/>
        <a:ext cx="37280" cy="37280"/>
      </dsp:txXfrm>
    </dsp:sp>
    <dsp:sp modelId="{8C5286FA-C9B6-4DD9-B4A9-030EC5994789}">
      <dsp:nvSpPr>
        <dsp:cNvPr id="0" name=""/>
        <dsp:cNvSpPr/>
      </dsp:nvSpPr>
      <dsp:spPr>
        <a:xfrm>
          <a:off x="491909" y="1081938"/>
          <a:ext cx="192871" cy="2662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6435" y="0"/>
              </a:lnTo>
              <a:lnTo>
                <a:pt x="96435" y="266231"/>
              </a:lnTo>
              <a:lnTo>
                <a:pt x="192871" y="266231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kern="1200">
            <a:solidFill>
              <a:schemeClr val="tx1"/>
            </a:solidFill>
            <a:cs typeface="PT Bold Heading" panose="02010400000000000000" pitchFamily="2" charset="-78"/>
          </a:endParaRPr>
        </a:p>
      </dsp:txBody>
      <dsp:txXfrm>
        <a:off x="580125" y="1206834"/>
        <a:ext cx="16437" cy="16437"/>
      </dsp:txXfrm>
    </dsp:sp>
    <dsp:sp modelId="{CDF13F6C-B382-459E-8A6F-9D1D6DFD5E4B}">
      <dsp:nvSpPr>
        <dsp:cNvPr id="0" name=""/>
        <dsp:cNvSpPr/>
      </dsp:nvSpPr>
      <dsp:spPr>
        <a:xfrm>
          <a:off x="491909" y="232908"/>
          <a:ext cx="192871" cy="849029"/>
        </a:xfrm>
        <a:custGeom>
          <a:avLst/>
          <a:gdLst/>
          <a:ahLst/>
          <a:cxnLst/>
          <a:rect l="0" t="0" r="0" b="0"/>
          <a:pathLst>
            <a:path>
              <a:moveTo>
                <a:pt x="0" y="849029"/>
              </a:moveTo>
              <a:lnTo>
                <a:pt x="96435" y="849029"/>
              </a:lnTo>
              <a:lnTo>
                <a:pt x="96435" y="0"/>
              </a:lnTo>
              <a:lnTo>
                <a:pt x="192871" y="0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311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700" b="0" kern="1200">
            <a:solidFill>
              <a:schemeClr val="tx1"/>
            </a:solidFill>
            <a:cs typeface="PT Bold Heading" panose="02010400000000000000" pitchFamily="2" charset="-78"/>
          </a:endParaRPr>
        </a:p>
      </dsp:txBody>
      <dsp:txXfrm>
        <a:off x="566578" y="635656"/>
        <a:ext cx="43533" cy="43533"/>
      </dsp:txXfrm>
    </dsp:sp>
    <dsp:sp modelId="{A56FFE14-76AE-4ED7-B03D-3BAD1937F84C}">
      <dsp:nvSpPr>
        <dsp:cNvPr id="0" name=""/>
        <dsp:cNvSpPr/>
      </dsp:nvSpPr>
      <dsp:spPr>
        <a:xfrm rot="16200000">
          <a:off x="-715307" y="837065"/>
          <a:ext cx="1924687" cy="489745"/>
        </a:xfrm>
        <a:prstGeom prst="rect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cs typeface="PT Bold Heading" panose="02010400000000000000" pitchFamily="2" charset="-78"/>
            </a:rPr>
            <a:t>مصادر تمويل الشركة</a:t>
          </a:r>
          <a:endParaRPr lang="ar-SA" sz="1200" kern="1200" dirty="0">
            <a:cs typeface="PT Bold Heading" panose="02010400000000000000" pitchFamily="2" charset="-78"/>
          </a:endParaRPr>
        </a:p>
      </dsp:txBody>
      <dsp:txXfrm>
        <a:off x="-715307" y="837065"/>
        <a:ext cx="1924687" cy="489745"/>
      </dsp:txXfrm>
    </dsp:sp>
    <dsp:sp modelId="{4B600C5B-BBEC-400B-BE79-9EA99A350B9D}">
      <dsp:nvSpPr>
        <dsp:cNvPr id="0" name=""/>
        <dsp:cNvSpPr/>
      </dsp:nvSpPr>
      <dsp:spPr>
        <a:xfrm>
          <a:off x="684780" y="3428"/>
          <a:ext cx="1770189" cy="458959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 dirty="0" smtClean="0">
              <a:cs typeface="PT Bold Heading" panose="02010400000000000000" pitchFamily="2" charset="-78"/>
            </a:rPr>
            <a:t>مصادر التمويل قصير الأجل</a:t>
          </a:r>
          <a:endParaRPr lang="ar-SA" sz="1200" b="0" kern="1200" dirty="0">
            <a:cs typeface="PT Bold Heading" panose="02010400000000000000" pitchFamily="2" charset="-78"/>
          </a:endParaRPr>
        </a:p>
      </dsp:txBody>
      <dsp:txXfrm>
        <a:off x="684780" y="3428"/>
        <a:ext cx="1770189" cy="458959"/>
      </dsp:txXfrm>
    </dsp:sp>
    <dsp:sp modelId="{B0F31145-0B81-47C0-9B41-50963DF42276}">
      <dsp:nvSpPr>
        <dsp:cNvPr id="0" name=""/>
        <dsp:cNvSpPr/>
      </dsp:nvSpPr>
      <dsp:spPr>
        <a:xfrm>
          <a:off x="684780" y="1192643"/>
          <a:ext cx="1770189" cy="311051"/>
        </a:xfrm>
        <a:prstGeom prst="rect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0" kern="1200" dirty="0" smtClean="0">
              <a:cs typeface="PT Bold Heading" panose="02010400000000000000" pitchFamily="2" charset="-78"/>
            </a:rPr>
            <a:t>مصادر التمويل طويل الأجل</a:t>
          </a:r>
          <a:endParaRPr lang="ar-SA" sz="1200" b="0" kern="1200" dirty="0">
            <a:cs typeface="PT Bold Heading" panose="02010400000000000000" pitchFamily="2" charset="-78"/>
          </a:endParaRPr>
        </a:p>
      </dsp:txBody>
      <dsp:txXfrm>
        <a:off x="684780" y="1192643"/>
        <a:ext cx="1770189" cy="311051"/>
      </dsp:txXfrm>
    </dsp:sp>
    <dsp:sp modelId="{F9BDB1F5-C594-4A76-ADC2-6794063C4EB1}">
      <dsp:nvSpPr>
        <dsp:cNvPr id="0" name=""/>
        <dsp:cNvSpPr/>
      </dsp:nvSpPr>
      <dsp:spPr>
        <a:xfrm>
          <a:off x="2728397" y="507492"/>
          <a:ext cx="1450197" cy="2940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cs typeface="PT Bold Heading" panose="02010400000000000000" pitchFamily="2" charset="-78"/>
            </a:rPr>
            <a:t>الاستئجار</a:t>
          </a:r>
          <a:endParaRPr lang="ar-SA" sz="1200" kern="1200" dirty="0">
            <a:cs typeface="PT Bold Heading" panose="02010400000000000000" pitchFamily="2" charset="-78"/>
          </a:endParaRPr>
        </a:p>
      </dsp:txBody>
      <dsp:txXfrm>
        <a:off x="2728397" y="507492"/>
        <a:ext cx="1450197" cy="294010"/>
      </dsp:txXfrm>
    </dsp:sp>
    <dsp:sp modelId="{0907EF86-3CFA-4559-A84D-BB94C137CEC1}">
      <dsp:nvSpPr>
        <dsp:cNvPr id="0" name=""/>
        <dsp:cNvSpPr/>
      </dsp:nvSpPr>
      <dsp:spPr>
        <a:xfrm>
          <a:off x="2647841" y="833650"/>
          <a:ext cx="1450197" cy="2940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cs typeface="PT Bold Heading" panose="02010400000000000000" pitchFamily="2" charset="-78"/>
            </a:rPr>
            <a:t>القروض المصرفية</a:t>
          </a:r>
          <a:endParaRPr lang="ar-SA" sz="1200" kern="1200" dirty="0">
            <a:cs typeface="PT Bold Heading" panose="02010400000000000000" pitchFamily="2" charset="-78"/>
          </a:endParaRPr>
        </a:p>
      </dsp:txBody>
      <dsp:txXfrm>
        <a:off x="2647841" y="833650"/>
        <a:ext cx="1450197" cy="294010"/>
      </dsp:txXfrm>
    </dsp:sp>
    <dsp:sp modelId="{493EF6CB-4BC7-400F-BC92-33AD3DAAAA70}">
      <dsp:nvSpPr>
        <dsp:cNvPr id="0" name=""/>
        <dsp:cNvSpPr/>
      </dsp:nvSpPr>
      <dsp:spPr>
        <a:xfrm>
          <a:off x="2647841" y="1201163"/>
          <a:ext cx="1450197" cy="2940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cs typeface="PT Bold Heading" panose="02010400000000000000" pitchFamily="2" charset="-78"/>
            </a:rPr>
            <a:t>السندات</a:t>
          </a:r>
          <a:endParaRPr lang="ar-SA" sz="1200" kern="1200" dirty="0">
            <a:cs typeface="PT Bold Heading" panose="02010400000000000000" pitchFamily="2" charset="-78"/>
          </a:endParaRPr>
        </a:p>
      </dsp:txBody>
      <dsp:txXfrm>
        <a:off x="2647841" y="1201163"/>
        <a:ext cx="1450197" cy="294010"/>
      </dsp:txXfrm>
    </dsp:sp>
    <dsp:sp modelId="{D7AC8040-21EB-49A4-8AD8-DC7AD2C33F02}">
      <dsp:nvSpPr>
        <dsp:cNvPr id="0" name=""/>
        <dsp:cNvSpPr/>
      </dsp:nvSpPr>
      <dsp:spPr>
        <a:xfrm>
          <a:off x="2647841" y="1568677"/>
          <a:ext cx="1528590" cy="2940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cs typeface="PT Bold Heading" panose="02010400000000000000" pitchFamily="2" charset="-78"/>
            </a:rPr>
            <a:t>الأسهم العادية والممتازة</a:t>
          </a:r>
          <a:endParaRPr lang="ar-SA" sz="1200" kern="1200" dirty="0">
            <a:cs typeface="PT Bold Heading" panose="02010400000000000000" pitchFamily="2" charset="-78"/>
          </a:endParaRPr>
        </a:p>
      </dsp:txBody>
      <dsp:txXfrm>
        <a:off x="2647841" y="1568677"/>
        <a:ext cx="1528590" cy="294010"/>
      </dsp:txXfrm>
    </dsp:sp>
    <dsp:sp modelId="{57996129-7066-4C9B-814B-A5F494322C87}">
      <dsp:nvSpPr>
        <dsp:cNvPr id="0" name=""/>
        <dsp:cNvSpPr/>
      </dsp:nvSpPr>
      <dsp:spPr>
        <a:xfrm>
          <a:off x="2728397" y="1911379"/>
          <a:ext cx="1450197" cy="294010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0" kern="1200" dirty="0" smtClean="0">
              <a:cs typeface="PT Bold Heading" panose="02010400000000000000" pitchFamily="2" charset="-78"/>
            </a:rPr>
            <a:t>الأرباح المحتجزة</a:t>
          </a:r>
          <a:endParaRPr lang="ar-SA" sz="1100" b="0" kern="1200" dirty="0">
            <a:cs typeface="PT Bold Heading" panose="02010400000000000000" pitchFamily="2" charset="-78"/>
          </a:endParaRPr>
        </a:p>
      </dsp:txBody>
      <dsp:txXfrm>
        <a:off x="2728397" y="1911379"/>
        <a:ext cx="1450197" cy="29401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6</Pages>
  <Words>1292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2015-10-29T00:29:00Z</cp:lastPrinted>
  <dcterms:created xsi:type="dcterms:W3CDTF">2015-10-28T16:01:00Z</dcterms:created>
  <dcterms:modified xsi:type="dcterms:W3CDTF">2015-10-29T00:29:00Z</dcterms:modified>
</cp:coreProperties>
</file>