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bidiVisual/>
        <w:tblW w:w="10349" w:type="dxa"/>
        <w:tblInd w:w="-942" w:type="dxa"/>
        <w:tblLook w:val="04A0"/>
      </w:tblPr>
      <w:tblGrid>
        <w:gridCol w:w="4536"/>
        <w:gridCol w:w="5813"/>
      </w:tblGrid>
      <w:tr w:rsidR="00A457F9" w:rsidRPr="008A6DB3" w:rsidTr="008A6DB3">
        <w:tc>
          <w:tcPr>
            <w:tcW w:w="10349" w:type="dxa"/>
            <w:gridSpan w:val="2"/>
            <w:shd w:val="clear" w:color="auto" w:fill="C2D69B" w:themeFill="accent3" w:themeFillTint="99"/>
          </w:tcPr>
          <w:p w:rsidR="00A457F9" w:rsidRPr="008A6DB3" w:rsidRDefault="00A457F9" w:rsidP="00466C85">
            <w:pPr>
              <w:jc w:val="center"/>
              <w:rPr>
                <w:b/>
                <w:bCs/>
                <w:sz w:val="28"/>
                <w:szCs w:val="28"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المصطلحات الواردة في المحاضرة #1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الأوراق المالية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Financial Securities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السندات الحكومية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Government Bonds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سندات التوفير المالية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Saving Bonds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proofErr w:type="spellStart"/>
            <w:r w:rsidRPr="008A6DB3">
              <w:rPr>
                <w:b/>
                <w:bCs/>
                <w:sz w:val="28"/>
                <w:szCs w:val="28"/>
                <w:rtl/>
              </w:rPr>
              <w:t>أذونات</w:t>
            </w:r>
            <w:proofErr w:type="spellEnd"/>
            <w:r w:rsidRPr="008A6DB3">
              <w:rPr>
                <w:b/>
                <w:bCs/>
                <w:sz w:val="28"/>
                <w:szCs w:val="28"/>
                <w:rtl/>
              </w:rPr>
              <w:t xml:space="preserve"> الخزينة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pStyle w:val="a3"/>
              <w:ind w:left="0"/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Treasury Bills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أوراق الخزينة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Treasury Notes</w:t>
            </w:r>
            <w:r w:rsidRPr="008A6DB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سندات الخزينة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Treasury bonds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الأوراق المالية الخاصة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Private Financial Securities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السندات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Bonds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السندات المضمونة وغير المضمونة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Mortgage and Debenture Bonds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السندات القابلة وغير القابلة للاستدعاء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Callable and non callable Bonds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السندات القابلة وغير القابلة للتحويل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Convertible and non Convertible bonds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الأوراق التجارية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Commercial Papers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الأسهم الممتازة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Preferred Stocks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الأسهم العادية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 xml:space="preserve">Common Stocks </w:t>
            </w:r>
            <w:r w:rsidRPr="008A6DB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ارباح موزعة نقدا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Cash Dividend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ارباح موزعة في شكل اسهم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Stock Dividend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أرباح موزعة في شكل ممتلكات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Property Dividend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 xml:space="preserve">التعهدات 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Warrants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عقود الخيارات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Option Contracts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شراء السهم العادي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Call option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بيع السهم العادي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Put option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عقود المستقبل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Future Contracts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أسهم صناديق الاستثمار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Mutual Funds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الأسواق المالية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Financial Market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السمسرة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Broker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صناعة السوق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Market maker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السوق النظامي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Organized  Market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بورصات الأوراق المالية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Stock  Exchange</w:t>
            </w:r>
          </w:p>
        </w:tc>
      </w:tr>
      <w:tr w:rsidR="00A457F9" w:rsidRPr="008A6DB3" w:rsidTr="008A6DB3">
        <w:tc>
          <w:tcPr>
            <w:tcW w:w="4536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السوق الموازي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A457F9" w:rsidRPr="008A6DB3" w:rsidRDefault="00A457F9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Over  the Counter Market (OTC)</w:t>
            </w:r>
          </w:p>
        </w:tc>
      </w:tr>
      <w:tr w:rsidR="00337533" w:rsidRPr="008A6DB3" w:rsidTr="008A6DB3">
        <w:tc>
          <w:tcPr>
            <w:tcW w:w="10349" w:type="dxa"/>
            <w:gridSpan w:val="2"/>
            <w:shd w:val="clear" w:color="auto" w:fill="C2D69B" w:themeFill="accent3" w:themeFillTint="99"/>
          </w:tcPr>
          <w:p w:rsidR="00337533" w:rsidRPr="008A6DB3" w:rsidRDefault="00337533" w:rsidP="00466C85">
            <w:pPr>
              <w:jc w:val="center"/>
              <w:rPr>
                <w:b/>
                <w:bCs/>
                <w:sz w:val="28"/>
                <w:szCs w:val="28"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المصطلحات الواردة في المحاضرة #2</w:t>
            </w:r>
          </w:p>
        </w:tc>
      </w:tr>
      <w:tr w:rsidR="00337533" w:rsidRPr="008A6DB3" w:rsidTr="008A6DB3">
        <w:tc>
          <w:tcPr>
            <w:tcW w:w="4536" w:type="dxa"/>
            <w:shd w:val="clear" w:color="auto" w:fill="B6DDE8" w:themeFill="accent5" w:themeFillTint="66"/>
          </w:tcPr>
          <w:p w:rsidR="00337533" w:rsidRPr="008A6DB3" w:rsidRDefault="00337533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التباين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337533" w:rsidRPr="008A6DB3" w:rsidRDefault="00337533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Variance</w:t>
            </w:r>
          </w:p>
        </w:tc>
      </w:tr>
      <w:tr w:rsidR="00337533" w:rsidRPr="008A6DB3" w:rsidTr="008A6DB3">
        <w:tc>
          <w:tcPr>
            <w:tcW w:w="4536" w:type="dxa"/>
            <w:shd w:val="clear" w:color="auto" w:fill="CCC0D9" w:themeFill="accent4" w:themeFillTint="66"/>
          </w:tcPr>
          <w:p w:rsidR="00337533" w:rsidRPr="008A6DB3" w:rsidRDefault="00337533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الانحراف المعياري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337533" w:rsidRPr="008A6DB3" w:rsidRDefault="00337533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Standard Deviation</w:t>
            </w:r>
          </w:p>
        </w:tc>
      </w:tr>
      <w:tr w:rsidR="00337533" w:rsidRPr="008A6DB3" w:rsidTr="008A6DB3">
        <w:tc>
          <w:tcPr>
            <w:tcW w:w="4536" w:type="dxa"/>
            <w:shd w:val="clear" w:color="auto" w:fill="B6DDE8" w:themeFill="accent5" w:themeFillTint="66"/>
          </w:tcPr>
          <w:p w:rsidR="00337533" w:rsidRPr="008A6DB3" w:rsidRDefault="00337533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معامل الاختلاف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337533" w:rsidRPr="008A6DB3" w:rsidRDefault="00337533" w:rsidP="00466C85">
            <w:pPr>
              <w:jc w:val="right"/>
              <w:rPr>
                <w:b/>
                <w:bCs/>
                <w:sz w:val="28"/>
                <w:szCs w:val="28"/>
              </w:rPr>
            </w:pPr>
            <w:proofErr w:type="spellStart"/>
            <w:r w:rsidRPr="008A6DB3">
              <w:rPr>
                <w:b/>
                <w:bCs/>
                <w:sz w:val="28"/>
                <w:szCs w:val="28"/>
              </w:rPr>
              <w:t>Coef</w:t>
            </w:r>
            <w:proofErr w:type="spellEnd"/>
            <w:r w:rsidRPr="008A6DB3">
              <w:rPr>
                <w:b/>
                <w:bCs/>
                <w:sz w:val="28"/>
                <w:szCs w:val="28"/>
              </w:rPr>
              <w:t xml:space="preserve"> of Variation</w:t>
            </w:r>
          </w:p>
        </w:tc>
      </w:tr>
      <w:tr w:rsidR="008A6DB3" w:rsidRPr="008A6DB3" w:rsidTr="008A6DB3">
        <w:tc>
          <w:tcPr>
            <w:tcW w:w="4536" w:type="dxa"/>
            <w:shd w:val="clear" w:color="auto" w:fill="CCC0D9" w:themeFill="accent4" w:themeFillTint="66"/>
          </w:tcPr>
          <w:p w:rsidR="008A6DB3" w:rsidRPr="008A6DB3" w:rsidRDefault="008A6DB3" w:rsidP="00522A97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العائد المتوقع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8A6DB3" w:rsidRPr="008A6DB3" w:rsidRDefault="008A6DB3" w:rsidP="00522A97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Expected Return</w:t>
            </w:r>
          </w:p>
        </w:tc>
      </w:tr>
      <w:tr w:rsidR="008A6DB3" w:rsidRPr="008A6DB3" w:rsidTr="008A6DB3">
        <w:tc>
          <w:tcPr>
            <w:tcW w:w="4536" w:type="dxa"/>
            <w:shd w:val="clear" w:color="auto" w:fill="B6DDE8" w:themeFill="accent5" w:themeFillTint="66"/>
          </w:tcPr>
          <w:p w:rsidR="008A6DB3" w:rsidRPr="008A6DB3" w:rsidRDefault="008A6DB3" w:rsidP="00522A97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العائد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8A6DB3" w:rsidRPr="008A6DB3" w:rsidRDefault="008A6DB3" w:rsidP="00522A97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Return</w:t>
            </w:r>
          </w:p>
        </w:tc>
      </w:tr>
      <w:tr w:rsidR="008A6DB3" w:rsidRPr="008A6DB3" w:rsidTr="008A6DB3">
        <w:tc>
          <w:tcPr>
            <w:tcW w:w="4536" w:type="dxa"/>
            <w:shd w:val="clear" w:color="auto" w:fill="CCC0D9" w:themeFill="accent4" w:themeFillTint="66"/>
          </w:tcPr>
          <w:p w:rsidR="008A6DB3" w:rsidRPr="008A6DB3" w:rsidRDefault="008A6DB3" w:rsidP="00522A97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المخاطرة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8A6DB3" w:rsidRPr="008A6DB3" w:rsidRDefault="008A6DB3" w:rsidP="00522A97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Risk</w:t>
            </w:r>
          </w:p>
        </w:tc>
      </w:tr>
      <w:tr w:rsidR="008A6DB3" w:rsidRPr="008A6DB3" w:rsidTr="008A6DB3">
        <w:tc>
          <w:tcPr>
            <w:tcW w:w="4536" w:type="dxa"/>
            <w:shd w:val="clear" w:color="auto" w:fill="B6DDE8" w:themeFill="accent5" w:themeFillTint="66"/>
          </w:tcPr>
          <w:p w:rsidR="008A6DB3" w:rsidRPr="008A6DB3" w:rsidRDefault="008A6DB3" w:rsidP="00522A97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المدى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8A6DB3" w:rsidRPr="008A6DB3" w:rsidRDefault="008A6DB3" w:rsidP="00522A97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Range</w:t>
            </w:r>
          </w:p>
        </w:tc>
      </w:tr>
    </w:tbl>
    <w:p w:rsidR="00466C85" w:rsidRDefault="00466C85" w:rsidP="00466C85">
      <w:pPr>
        <w:rPr>
          <w:b/>
          <w:bCs/>
          <w:sz w:val="28"/>
          <w:szCs w:val="28"/>
          <w:rtl/>
        </w:rPr>
      </w:pPr>
    </w:p>
    <w:p w:rsidR="00B51412" w:rsidRPr="008A6DB3" w:rsidRDefault="00B51412" w:rsidP="00466C85">
      <w:pPr>
        <w:rPr>
          <w:b/>
          <w:bCs/>
          <w:sz w:val="28"/>
          <w:szCs w:val="28"/>
          <w:rtl/>
        </w:rPr>
      </w:pPr>
    </w:p>
    <w:p w:rsidR="00466C85" w:rsidRPr="008A6DB3" w:rsidRDefault="00466C85" w:rsidP="00466C85">
      <w:pPr>
        <w:rPr>
          <w:b/>
          <w:bCs/>
          <w:sz w:val="28"/>
          <w:szCs w:val="28"/>
          <w:rtl/>
        </w:rPr>
      </w:pPr>
    </w:p>
    <w:tbl>
      <w:tblPr>
        <w:tblStyle w:val="a4"/>
        <w:bidiVisual/>
        <w:tblW w:w="10349" w:type="dxa"/>
        <w:tblInd w:w="-942" w:type="dxa"/>
        <w:tblLook w:val="04A0"/>
      </w:tblPr>
      <w:tblGrid>
        <w:gridCol w:w="4536"/>
        <w:gridCol w:w="5813"/>
      </w:tblGrid>
      <w:tr w:rsidR="00466C85" w:rsidRPr="008A6DB3" w:rsidTr="008F1D64">
        <w:tc>
          <w:tcPr>
            <w:tcW w:w="10349" w:type="dxa"/>
            <w:gridSpan w:val="2"/>
            <w:shd w:val="clear" w:color="auto" w:fill="C2D69B" w:themeFill="accent3" w:themeFillTint="99"/>
          </w:tcPr>
          <w:p w:rsidR="00466C85" w:rsidRPr="008A6DB3" w:rsidRDefault="00466C85" w:rsidP="00466C8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المصطلحات الواردة في المحاضرة #3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 الأعمال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Business Risk</w:t>
            </w:r>
            <w:r w:rsidRPr="008A6DB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مخاطرة الحدث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Event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مخاطرة الفشل الاقتصادي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Economic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 الدولة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pStyle w:val="a3"/>
              <w:ind w:left="0"/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country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 الصناعة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Industry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 الأصول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Principal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 السيولة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Liquidity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مخاطرة الائتمان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Credit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مخاطرة الفرصة البديلة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Opportunity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مخاطرة الدخل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Income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مخاطرة الاستدعاء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Call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مخاطرة السعر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Price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 سعر الفائدة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Interest Rate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مخاطرة العملة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Currency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 التضخم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Inflation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الارتباط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Correlation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مخاطرة الارتباط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Correlation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تحليل الانحدار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Regression Analysis</w:t>
            </w:r>
          </w:p>
        </w:tc>
      </w:tr>
      <w:tr w:rsidR="00466C85" w:rsidRPr="008A6DB3" w:rsidTr="008F1D64">
        <w:tc>
          <w:tcPr>
            <w:tcW w:w="10349" w:type="dxa"/>
            <w:gridSpan w:val="2"/>
            <w:shd w:val="clear" w:color="auto" w:fill="C2D69B" w:themeFill="accent3" w:themeFillTint="99"/>
          </w:tcPr>
          <w:p w:rsidR="00466C85" w:rsidRPr="008A6DB3" w:rsidRDefault="00466C85" w:rsidP="00466C85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المصطلحات الواردة في المحاضرة #4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المستثمر كاره المخاطرة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risk aversion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المستثمر محب المخاطرة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risk tolerance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التوزيعات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>dividends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الكوبونات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 xml:space="preserve">coupons </w:t>
            </w:r>
            <w:r w:rsidRPr="008A6DB3">
              <w:rPr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الربح الرأسمالي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capital gain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  <w:rtl/>
              </w:rPr>
              <w:t>معدل العائد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rate of return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معامل بيتا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Beta coefficient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نموذج تسعير الأصول الرأسمالية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Capital Asset Pricing Model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التنويع الاستثماري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Investment diversification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المحفظة الاستثمارية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Investment Portfolio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 xml:space="preserve">محفظة السوق 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Market Portfolio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خطر السوق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Market risk</w:t>
            </w:r>
          </w:p>
        </w:tc>
      </w:tr>
      <w:tr w:rsidR="00466C85" w:rsidRPr="008A6DB3" w:rsidTr="008F1D64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العائد المتوقع من المحفظة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b/>
                <w:bCs/>
                <w:sz w:val="28"/>
                <w:szCs w:val="28"/>
              </w:rPr>
              <w:t xml:space="preserve">Portfolio expected return </w:t>
            </w:r>
          </w:p>
        </w:tc>
      </w:tr>
      <w:tr w:rsidR="00466C85" w:rsidRPr="008A6DB3" w:rsidTr="00466C85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عائد المحفظة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Portfolio return</w:t>
            </w:r>
          </w:p>
        </w:tc>
      </w:tr>
      <w:tr w:rsidR="00466C85" w:rsidRPr="008A6DB3" w:rsidTr="00466C85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خطر المحفظة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Portfolio risk</w:t>
            </w:r>
          </w:p>
        </w:tc>
      </w:tr>
      <w:tr w:rsidR="00466C85" w:rsidRPr="008A6DB3" w:rsidTr="00466C85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نسبة العائد الى المخاطرة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Reward-To- Risk Return Ratio</w:t>
            </w:r>
          </w:p>
        </w:tc>
      </w:tr>
      <w:tr w:rsidR="00466C85" w:rsidRPr="008A6DB3" w:rsidTr="00466C85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علاوة المخاطرة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Risk premium</w:t>
            </w:r>
          </w:p>
        </w:tc>
      </w:tr>
      <w:tr w:rsidR="00466C85" w:rsidRPr="008A6DB3" w:rsidTr="00466C85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 xml:space="preserve">خط سوق الاوراق المالية 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Security market line</w:t>
            </w:r>
          </w:p>
        </w:tc>
      </w:tr>
      <w:tr w:rsidR="00466C85" w:rsidRPr="008A6DB3" w:rsidTr="00466C85">
        <w:tc>
          <w:tcPr>
            <w:tcW w:w="4536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مخاطر منتظمة</w:t>
            </w:r>
          </w:p>
        </w:tc>
        <w:tc>
          <w:tcPr>
            <w:tcW w:w="5813" w:type="dxa"/>
            <w:shd w:val="clear" w:color="auto" w:fill="CCC0D9" w:themeFill="accent4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Systematic risk</w:t>
            </w:r>
          </w:p>
        </w:tc>
      </w:tr>
      <w:tr w:rsidR="00466C85" w:rsidRPr="008A6DB3" w:rsidTr="00466C85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 xml:space="preserve">مخاطر غير منتظمة </w:t>
            </w:r>
            <w:proofErr w:type="spellStart"/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/</w:t>
            </w:r>
            <w:proofErr w:type="spellEnd"/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 xml:space="preserve"> خاصة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466C85" w:rsidP="00466C85">
            <w:pPr>
              <w:jc w:val="right"/>
              <w:rPr>
                <w:b/>
                <w:bCs/>
                <w:sz w:val="28"/>
                <w:szCs w:val="28"/>
              </w:rPr>
            </w:pPr>
            <w:r w:rsidRPr="008A6DB3">
              <w:rPr>
                <w:b/>
                <w:bCs/>
                <w:sz w:val="28"/>
                <w:szCs w:val="28"/>
              </w:rPr>
              <w:t>Unsystematic / Specific risk</w:t>
            </w:r>
          </w:p>
        </w:tc>
      </w:tr>
    </w:tbl>
    <w:p w:rsidR="00466C85" w:rsidRPr="008A6DB3" w:rsidRDefault="00466C85" w:rsidP="00466C85">
      <w:pPr>
        <w:jc w:val="right"/>
        <w:rPr>
          <w:b/>
          <w:bCs/>
          <w:sz w:val="28"/>
          <w:szCs w:val="28"/>
          <w:rtl/>
        </w:rPr>
      </w:pPr>
    </w:p>
    <w:p w:rsidR="00466C85" w:rsidRPr="008A6DB3" w:rsidRDefault="00466C85" w:rsidP="00466C85">
      <w:pPr>
        <w:jc w:val="right"/>
        <w:rPr>
          <w:b/>
          <w:bCs/>
          <w:sz w:val="28"/>
          <w:szCs w:val="28"/>
          <w:rtl/>
        </w:rPr>
      </w:pPr>
    </w:p>
    <w:tbl>
      <w:tblPr>
        <w:tblStyle w:val="a4"/>
        <w:bidiVisual/>
        <w:tblW w:w="10349" w:type="dxa"/>
        <w:tblInd w:w="-942" w:type="dxa"/>
        <w:tblLook w:val="04A0"/>
      </w:tblPr>
      <w:tblGrid>
        <w:gridCol w:w="4536"/>
        <w:gridCol w:w="5813"/>
      </w:tblGrid>
      <w:tr w:rsidR="00466C85" w:rsidRPr="008A6DB3" w:rsidTr="00274241">
        <w:tc>
          <w:tcPr>
            <w:tcW w:w="10349" w:type="dxa"/>
            <w:gridSpan w:val="2"/>
            <w:shd w:val="clear" w:color="auto" w:fill="C2D69B" w:themeFill="accent3" w:themeFillTint="99"/>
          </w:tcPr>
          <w:p w:rsidR="00466C85" w:rsidRPr="008A6DB3" w:rsidRDefault="00466C85" w:rsidP="00274241">
            <w:pPr>
              <w:jc w:val="center"/>
              <w:rPr>
                <w:b/>
                <w:bCs/>
                <w:sz w:val="28"/>
                <w:szCs w:val="28"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lastRenderedPageBreak/>
              <w:t>المصطلحات الواردة في المحاضرة #</w:t>
            </w:r>
            <w:r w:rsidR="00274241"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</w:tr>
      <w:tr w:rsidR="00466C85" w:rsidRPr="008A6DB3" w:rsidTr="00274241">
        <w:tc>
          <w:tcPr>
            <w:tcW w:w="4536" w:type="dxa"/>
            <w:shd w:val="clear" w:color="auto" w:fill="B6DDE8" w:themeFill="accent5" w:themeFillTint="66"/>
          </w:tcPr>
          <w:p w:rsidR="00466C85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4"/>
                <w:szCs w:val="24"/>
                <w:rtl/>
              </w:rPr>
              <w:t>التغاير</w:t>
            </w:r>
            <w:r w:rsidR="002B4A86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2B4A86" w:rsidRPr="002B4A86">
              <w:rPr>
                <w:rFonts w:hint="cs"/>
                <w:b/>
                <w:bCs/>
                <w:sz w:val="24"/>
                <w:szCs w:val="24"/>
                <w:rtl/>
              </w:rPr>
              <w:t>أو الانحراف المشترك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466C85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4"/>
                <w:szCs w:val="24"/>
              </w:rPr>
              <w:t>COV</w:t>
            </w:r>
          </w:p>
        </w:tc>
      </w:tr>
      <w:tr w:rsidR="00274241" w:rsidRPr="008A6DB3" w:rsidTr="00274241">
        <w:tc>
          <w:tcPr>
            <w:tcW w:w="10349" w:type="dxa"/>
            <w:gridSpan w:val="2"/>
            <w:shd w:val="clear" w:color="auto" w:fill="C2D69B" w:themeFill="accent3" w:themeFillTint="99"/>
          </w:tcPr>
          <w:p w:rsidR="00274241" w:rsidRPr="008A6DB3" w:rsidRDefault="00274241" w:rsidP="00274241">
            <w:pPr>
              <w:jc w:val="center"/>
              <w:rPr>
                <w:b/>
                <w:bCs/>
                <w:sz w:val="28"/>
                <w:szCs w:val="28"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المصطلحات الواردة في المحاضرة #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00000</w:t>
            </w: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0000</w:t>
            </w:r>
          </w:p>
        </w:tc>
      </w:tr>
      <w:tr w:rsidR="00274241" w:rsidRPr="008A6DB3" w:rsidTr="00274241">
        <w:tc>
          <w:tcPr>
            <w:tcW w:w="10349" w:type="dxa"/>
            <w:gridSpan w:val="2"/>
            <w:shd w:val="clear" w:color="auto" w:fill="C2D69B" w:themeFill="accent3" w:themeFillTint="99"/>
          </w:tcPr>
          <w:p w:rsidR="00274241" w:rsidRPr="008A6DB3" w:rsidRDefault="00274241" w:rsidP="00274241">
            <w:pPr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8A6DB3">
              <w:rPr>
                <w:rFonts w:hint="cs"/>
                <w:b/>
                <w:bCs/>
                <w:sz w:val="28"/>
                <w:szCs w:val="28"/>
                <w:rtl/>
              </w:rPr>
              <w:t>المصطلحات الواردة في المحاضرة #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B6DDE8" w:themeFill="accent5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  <w:tr w:rsidR="00274241" w:rsidRPr="008A6DB3" w:rsidTr="00274241">
        <w:tc>
          <w:tcPr>
            <w:tcW w:w="4536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5813" w:type="dxa"/>
            <w:shd w:val="clear" w:color="auto" w:fill="CCC0D9" w:themeFill="accent4" w:themeFillTint="66"/>
          </w:tcPr>
          <w:p w:rsidR="00274241" w:rsidRPr="008A6DB3" w:rsidRDefault="00274241" w:rsidP="00466C85">
            <w:pPr>
              <w:jc w:val="right"/>
              <w:rPr>
                <w:b/>
                <w:bCs/>
                <w:sz w:val="28"/>
                <w:szCs w:val="28"/>
              </w:rPr>
            </w:pPr>
          </w:p>
        </w:tc>
      </w:tr>
    </w:tbl>
    <w:p w:rsidR="00466C85" w:rsidRPr="008A6DB3" w:rsidRDefault="00466C85" w:rsidP="00274241">
      <w:pPr>
        <w:jc w:val="right"/>
        <w:rPr>
          <w:rFonts w:hint="cs"/>
          <w:b/>
          <w:bCs/>
          <w:sz w:val="28"/>
          <w:szCs w:val="28"/>
          <w:rtl/>
        </w:rPr>
      </w:pPr>
    </w:p>
    <w:sectPr w:rsidR="00466C85" w:rsidRPr="008A6DB3" w:rsidSect="00466C85">
      <w:pgSz w:w="11906" w:h="16838"/>
      <w:pgMar w:top="851" w:right="1797" w:bottom="851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4EF3" w:rsidRDefault="00D94EF3" w:rsidP="00466C85">
      <w:pPr>
        <w:spacing w:after="0" w:line="240" w:lineRule="auto"/>
      </w:pPr>
      <w:r>
        <w:separator/>
      </w:r>
    </w:p>
  </w:endnote>
  <w:endnote w:type="continuationSeparator" w:id="0">
    <w:p w:rsidR="00D94EF3" w:rsidRDefault="00D94EF3" w:rsidP="00466C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4EF3" w:rsidRDefault="00D94EF3" w:rsidP="00466C85">
      <w:pPr>
        <w:spacing w:after="0" w:line="240" w:lineRule="auto"/>
      </w:pPr>
      <w:r>
        <w:separator/>
      </w:r>
    </w:p>
  </w:footnote>
  <w:footnote w:type="continuationSeparator" w:id="0">
    <w:p w:rsidR="00D94EF3" w:rsidRDefault="00D94EF3" w:rsidP="00466C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D4155"/>
    <w:multiLevelType w:val="hybridMultilevel"/>
    <w:tmpl w:val="6186EE02"/>
    <w:lvl w:ilvl="0" w:tplc="EE4C6ED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C906B46"/>
    <w:multiLevelType w:val="hybridMultilevel"/>
    <w:tmpl w:val="545CA9D8"/>
    <w:lvl w:ilvl="0" w:tplc="4AB80D2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8A365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54CD04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9AAF4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80684F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8A9DF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FE997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4406C6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D8112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B10B5"/>
    <w:rsid w:val="00047C3D"/>
    <w:rsid w:val="000B7125"/>
    <w:rsid w:val="000D0E2E"/>
    <w:rsid w:val="00210C62"/>
    <w:rsid w:val="00274241"/>
    <w:rsid w:val="002B4A86"/>
    <w:rsid w:val="00300EED"/>
    <w:rsid w:val="00337533"/>
    <w:rsid w:val="003D7591"/>
    <w:rsid w:val="003E3994"/>
    <w:rsid w:val="00466C85"/>
    <w:rsid w:val="00483012"/>
    <w:rsid w:val="004A60A7"/>
    <w:rsid w:val="004A700A"/>
    <w:rsid w:val="004B10B5"/>
    <w:rsid w:val="00505475"/>
    <w:rsid w:val="00580FD3"/>
    <w:rsid w:val="007E08B7"/>
    <w:rsid w:val="00897D8C"/>
    <w:rsid w:val="008A6DB3"/>
    <w:rsid w:val="008E16F7"/>
    <w:rsid w:val="00A457F9"/>
    <w:rsid w:val="00B266C7"/>
    <w:rsid w:val="00B51412"/>
    <w:rsid w:val="00C26812"/>
    <w:rsid w:val="00D94EF3"/>
    <w:rsid w:val="00D95651"/>
    <w:rsid w:val="00E55475"/>
    <w:rsid w:val="00FD0C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99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B10B5"/>
    <w:pPr>
      <w:ind w:left="720"/>
      <w:contextualSpacing/>
    </w:pPr>
  </w:style>
  <w:style w:type="table" w:styleId="a4">
    <w:name w:val="Table Grid"/>
    <w:basedOn w:val="a1"/>
    <w:uiPriority w:val="59"/>
    <w:rsid w:val="004B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semiHidden/>
    <w:unhideWhenUsed/>
    <w:rsid w:val="00466C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466C85"/>
  </w:style>
  <w:style w:type="paragraph" w:styleId="a6">
    <w:name w:val="footer"/>
    <w:basedOn w:val="a"/>
    <w:link w:val="Char0"/>
    <w:uiPriority w:val="99"/>
    <w:semiHidden/>
    <w:unhideWhenUsed/>
    <w:rsid w:val="00466C8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466C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89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28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7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0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1965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56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</TotalTime>
  <Pages>3</Pages>
  <Words>431</Words>
  <Characters>2458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OMCFRM58</dc:creator>
  <cp:keywords/>
  <dc:description/>
  <cp:lastModifiedBy>OMCFRM58</cp:lastModifiedBy>
  <cp:revision>25</cp:revision>
  <dcterms:created xsi:type="dcterms:W3CDTF">2017-02-27T18:01:00Z</dcterms:created>
  <dcterms:modified xsi:type="dcterms:W3CDTF">2017-03-17T21:41:00Z</dcterms:modified>
</cp:coreProperties>
</file>