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EB9" w:rsidRDefault="00EA4B45" w:rsidP="00243673">
      <w:pPr>
        <w:jc w:val="center"/>
        <w:rPr>
          <w:b/>
          <w:bCs/>
          <w:sz w:val="32"/>
          <w:szCs w:val="32"/>
          <w:u w:val="single"/>
          <w:rtl/>
        </w:rPr>
      </w:pPr>
      <w:r w:rsidRPr="00243673">
        <w:rPr>
          <w:rFonts w:hint="cs"/>
          <w:b/>
          <w:bCs/>
          <w:sz w:val="32"/>
          <w:szCs w:val="32"/>
          <w:u w:val="single"/>
          <w:rtl/>
        </w:rPr>
        <w:t>الموارد والاستخدامات للبنوك (التجاري</w:t>
      </w:r>
      <w:r w:rsidR="005779F6" w:rsidRPr="00243673">
        <w:rPr>
          <w:rFonts w:hint="cs"/>
          <w:b/>
          <w:bCs/>
          <w:sz w:val="32"/>
          <w:szCs w:val="32"/>
          <w:u w:val="single"/>
          <w:rtl/>
        </w:rPr>
        <w:t>ة</w:t>
      </w:r>
      <w:r w:rsidRPr="00243673">
        <w:rPr>
          <w:rFonts w:hint="cs"/>
          <w:b/>
          <w:bCs/>
          <w:sz w:val="32"/>
          <w:szCs w:val="32"/>
          <w:u w:val="single"/>
          <w:rtl/>
        </w:rPr>
        <w:t xml:space="preserve"> </w:t>
      </w:r>
      <w:r w:rsidR="005779F6" w:rsidRPr="00243673">
        <w:rPr>
          <w:rFonts w:hint="cs"/>
          <w:b/>
          <w:bCs/>
          <w:sz w:val="32"/>
          <w:szCs w:val="32"/>
          <w:u w:val="single"/>
          <w:rtl/>
        </w:rPr>
        <w:t xml:space="preserve">و الاسلامية </w:t>
      </w:r>
      <w:r w:rsidRPr="00243673">
        <w:rPr>
          <w:rFonts w:hint="cs"/>
          <w:b/>
          <w:bCs/>
          <w:sz w:val="32"/>
          <w:szCs w:val="32"/>
          <w:u w:val="single"/>
          <w:rtl/>
        </w:rPr>
        <w:t>و المركزية)</w:t>
      </w:r>
    </w:p>
    <w:p w:rsidR="00243673" w:rsidRPr="00243673" w:rsidRDefault="00243673" w:rsidP="00243673">
      <w:pPr>
        <w:jc w:val="center"/>
        <w:rPr>
          <w:b/>
          <w:bCs/>
          <w:sz w:val="32"/>
          <w:szCs w:val="32"/>
          <w:u w:val="single"/>
          <w:rtl/>
        </w:rPr>
      </w:pPr>
    </w:p>
    <w:p w:rsidR="00EA4B45" w:rsidRPr="00243673" w:rsidRDefault="005779F6" w:rsidP="00EA4B45">
      <w:pPr>
        <w:rPr>
          <w:sz w:val="36"/>
          <w:szCs w:val="36"/>
          <w:u w:val="single"/>
          <w:rtl/>
        </w:rPr>
      </w:pPr>
      <w:r w:rsidRPr="00243673">
        <w:rPr>
          <w:rFonts w:hint="cs"/>
          <w:b/>
          <w:bCs/>
          <w:sz w:val="36"/>
          <w:szCs w:val="36"/>
          <w:u w:val="single"/>
          <w:rtl/>
        </w:rPr>
        <w:t xml:space="preserve">الاولى - </w:t>
      </w:r>
      <w:r w:rsidR="00EA4B45" w:rsidRPr="00243673">
        <w:rPr>
          <w:b/>
          <w:bCs/>
          <w:sz w:val="36"/>
          <w:szCs w:val="36"/>
          <w:u w:val="single"/>
          <w:rtl/>
        </w:rPr>
        <w:t>ربحية وسيولة البنك التجاري</w:t>
      </w:r>
    </w:p>
    <w:p w:rsidR="00EA4B45" w:rsidRPr="00243673" w:rsidRDefault="00EA4B45" w:rsidP="00EA4B45">
      <w:pPr>
        <w:rPr>
          <w:sz w:val="32"/>
          <w:szCs w:val="32"/>
          <w:rtl/>
        </w:rPr>
      </w:pPr>
      <w:r w:rsidRPr="00243673">
        <w:rPr>
          <w:rFonts w:hint="cs"/>
          <w:b/>
          <w:bCs/>
          <w:sz w:val="32"/>
          <w:szCs w:val="32"/>
          <w:rtl/>
        </w:rPr>
        <w:t xml:space="preserve"> </w:t>
      </w:r>
      <w:r w:rsidRPr="00243673">
        <w:rPr>
          <w:rFonts w:hint="cs"/>
          <w:b/>
          <w:bCs/>
          <w:sz w:val="32"/>
          <w:szCs w:val="32"/>
          <w:highlight w:val="cyan"/>
          <w:rtl/>
        </w:rPr>
        <w:t>1-</w:t>
      </w:r>
      <w:r w:rsidRPr="00243673">
        <w:rPr>
          <w:b/>
          <w:bCs/>
          <w:sz w:val="32"/>
          <w:szCs w:val="32"/>
          <w:rtl/>
        </w:rPr>
        <w:t>الموارد</w:t>
      </w:r>
    </w:p>
    <w:p w:rsidR="00EA4B45" w:rsidRPr="00243673" w:rsidRDefault="00EA4B45" w:rsidP="00EA4B45">
      <w:r w:rsidRPr="00243673">
        <w:rPr>
          <w:b/>
          <w:bCs/>
          <w:rtl/>
        </w:rPr>
        <w:t>يقصد بها جميع مصادر الأموال التي ترد إلي خزينة البنك التجاري وتصبح متاحة لديه لكي يوجهها للاستخدامات المختلفة التي تعود بالنفع وتحقق المصلحة من وجهة نظر أصحاب هذه الموارد. ولذلك، تمثل هذه الموارد حقوق الغير لدي البنك (الخصوم أو المطلوبات بالتعبير المحاسبي). وتنقسم هذه الموارد إلي نوعين:</w:t>
      </w:r>
    </w:p>
    <w:p w:rsidR="00EA4B45" w:rsidRPr="00243673" w:rsidRDefault="00EA4B45" w:rsidP="00EA4B45">
      <w:pPr>
        <w:rPr>
          <w:u w:val="single"/>
        </w:rPr>
      </w:pPr>
      <w:r w:rsidRPr="00243673">
        <w:rPr>
          <w:b/>
          <w:bCs/>
          <w:u w:val="single"/>
          <w:rtl/>
        </w:rPr>
        <w:t>أ- الموارد الذاتية</w:t>
      </w:r>
    </w:p>
    <w:p w:rsidR="00EA4B45" w:rsidRPr="00243673" w:rsidRDefault="00EA4B45" w:rsidP="00EA4B45">
      <w:r w:rsidRPr="00243673">
        <w:rPr>
          <w:b/>
          <w:bCs/>
          <w:rtl/>
        </w:rPr>
        <w:t xml:space="preserve">وتتضمن الموارد الذاتية أموال المؤسسين أو ما يعرف بأصحاب حقوق الملكية، حيث يقوم هؤلاء بتوفير رأس مال البنك والذي عادة ما يستهل به نشاطه. ولاحقا قد يتوسع البنك في نشاطه من خلال مخصص الاحتياطي (الأرباح غير الموزعة) أو من خلال زيادة رأس المال. </w:t>
      </w:r>
    </w:p>
    <w:p w:rsidR="00EA4B45" w:rsidRPr="00243673" w:rsidRDefault="00EA4B45" w:rsidP="00EA4B45">
      <w:pPr>
        <w:rPr>
          <w:b/>
          <w:bCs/>
          <w:rtl/>
        </w:rPr>
      </w:pPr>
      <w:r w:rsidRPr="00243673">
        <w:rPr>
          <w:b/>
          <w:bCs/>
          <w:rtl/>
        </w:rPr>
        <w:t xml:space="preserve">(في الغالب تشكل الموارد الذاتية ما بين </w:t>
      </w:r>
      <w:r w:rsidRPr="00243673">
        <w:rPr>
          <w:b/>
          <w:bCs/>
        </w:rPr>
        <w:t>10</w:t>
      </w:r>
      <w:r w:rsidRPr="00243673">
        <w:rPr>
          <w:b/>
          <w:bCs/>
          <w:rtl/>
        </w:rPr>
        <w:t xml:space="preserve">% إلي </w:t>
      </w:r>
      <w:r w:rsidRPr="00243673">
        <w:rPr>
          <w:b/>
          <w:bCs/>
        </w:rPr>
        <w:t>15</w:t>
      </w:r>
      <w:r w:rsidRPr="00243673">
        <w:rPr>
          <w:b/>
          <w:bCs/>
          <w:rtl/>
        </w:rPr>
        <w:t>% من جملة موارد البنك التجاري)</w:t>
      </w:r>
    </w:p>
    <w:p w:rsidR="00EA4B45" w:rsidRPr="00243673" w:rsidRDefault="00EA4B45" w:rsidP="00EA4B45">
      <w:pPr>
        <w:rPr>
          <w:u w:val="single"/>
          <w:rtl/>
        </w:rPr>
      </w:pPr>
      <w:r w:rsidRPr="00243673">
        <w:rPr>
          <w:b/>
          <w:bCs/>
          <w:u w:val="single"/>
          <w:rtl/>
        </w:rPr>
        <w:t xml:space="preserve"> ب- الموارد غير الذاتية</w:t>
      </w:r>
    </w:p>
    <w:p w:rsidR="00EA4B45" w:rsidRPr="00243673" w:rsidRDefault="00EA4B45" w:rsidP="00EA4B45">
      <w:r w:rsidRPr="00243673">
        <w:rPr>
          <w:b/>
          <w:bCs/>
          <w:rtl/>
        </w:rPr>
        <w:t>وتتضمن الموارد غير الذاتية أموال جميع أصحاب الودائع لدي للبنك التجاري (الجارية/الثابتة/الادخارية). كما تتضمن الموارد غير الذاتية الديون أو الأموال المقترضة من الغير، حيث تقوم البنوك التجارية بالاقتراض أما من البنك المركزي أو من البنوك الأخري (في الغالب البنوك التجارية).</w:t>
      </w:r>
    </w:p>
    <w:p w:rsidR="00EA4B45" w:rsidRPr="00243673" w:rsidRDefault="00EA4B45" w:rsidP="00EA4B45">
      <w:pPr>
        <w:rPr>
          <w:rtl/>
        </w:rPr>
      </w:pPr>
      <w:r w:rsidRPr="00243673">
        <w:rPr>
          <w:b/>
          <w:bCs/>
          <w:rtl/>
        </w:rPr>
        <w:t xml:space="preserve">(في الغالب تشكل غير الموارد الذاتية ما بين </w:t>
      </w:r>
      <w:r w:rsidRPr="00243673">
        <w:rPr>
          <w:b/>
          <w:bCs/>
        </w:rPr>
        <w:t>90</w:t>
      </w:r>
      <w:r w:rsidRPr="00243673">
        <w:rPr>
          <w:b/>
          <w:bCs/>
          <w:rtl/>
        </w:rPr>
        <w:t xml:space="preserve">% إلي </w:t>
      </w:r>
      <w:r w:rsidRPr="00243673">
        <w:rPr>
          <w:b/>
          <w:bCs/>
        </w:rPr>
        <w:t>85</w:t>
      </w:r>
      <w:r w:rsidRPr="00243673">
        <w:rPr>
          <w:b/>
          <w:bCs/>
          <w:rtl/>
        </w:rPr>
        <w:t>% من جملة موارد البنك التجاري)</w:t>
      </w:r>
    </w:p>
    <w:p w:rsidR="00EA4B45" w:rsidRPr="00243673" w:rsidRDefault="00EA4B45" w:rsidP="00EA4B45">
      <w:pPr>
        <w:rPr>
          <w:sz w:val="32"/>
          <w:szCs w:val="32"/>
          <w:rtl/>
        </w:rPr>
      </w:pPr>
      <w:r w:rsidRPr="00243673">
        <w:rPr>
          <w:rFonts w:hint="cs"/>
          <w:b/>
          <w:bCs/>
          <w:highlight w:val="cyan"/>
          <w:rtl/>
        </w:rPr>
        <w:t>2</w:t>
      </w:r>
      <w:r w:rsidRPr="00243673">
        <w:rPr>
          <w:rFonts w:hint="cs"/>
          <w:b/>
          <w:bCs/>
          <w:sz w:val="32"/>
          <w:szCs w:val="32"/>
          <w:highlight w:val="cyan"/>
          <w:rtl/>
        </w:rPr>
        <w:t>-</w:t>
      </w:r>
      <w:r w:rsidRPr="00243673">
        <w:rPr>
          <w:b/>
          <w:bCs/>
          <w:sz w:val="32"/>
          <w:szCs w:val="32"/>
          <w:rtl/>
        </w:rPr>
        <w:t>الاستخدامات</w:t>
      </w:r>
    </w:p>
    <w:p w:rsidR="00EA4B45" w:rsidRPr="00243673" w:rsidRDefault="00EA4B45" w:rsidP="00EA4B45">
      <w:r w:rsidRPr="00243673">
        <w:rPr>
          <w:b/>
          <w:bCs/>
          <w:rtl/>
        </w:rPr>
        <w:t>يقصد بها الكيفية التي يتم بها توظيف أو استغلال جميع الموارد المتاحة للبنك التجاري. فعملية توظيف الموارد هذه تمثل حقوق البنك لدي الغير (الأصول أو الموجودات بالتعبير المحاسبي). وفي الغالب ما يكون البنك التجاري في جانب توظيف موارده بين خيارين:</w:t>
      </w:r>
    </w:p>
    <w:p w:rsidR="00EA4B45" w:rsidRPr="00243673" w:rsidRDefault="00EA4B45" w:rsidP="00EA4B45">
      <w:pPr>
        <w:rPr>
          <w:u w:val="single"/>
        </w:rPr>
      </w:pPr>
      <w:r w:rsidRPr="00243673">
        <w:rPr>
          <w:b/>
          <w:bCs/>
          <w:u w:val="single"/>
          <w:rtl/>
        </w:rPr>
        <w:t xml:space="preserve">أ- توظيف يحقق السيولة الكاملة </w:t>
      </w:r>
    </w:p>
    <w:p w:rsidR="00EA4B45" w:rsidRPr="00243673" w:rsidRDefault="00EA4B45" w:rsidP="00EA4B45">
      <w:r w:rsidRPr="00243673">
        <w:rPr>
          <w:b/>
          <w:bCs/>
          <w:rtl/>
        </w:rPr>
        <w:t xml:space="preserve">السيولة الكاملة يعني يتم الاحتفاظ بالموارد في شكل نقود أما بخزينة البنك التجاري  أو في شكل ودائع تحت الطلب (جارية) لدي البنك المركزي أو لدي البنوك الأخري. وفي هذه الحالة، يحقق البنك التجاري مصلحة أصحاب الموارد غير الذاتية لأن السيولة تكون حاضرة لعمليات السحب متى ما أرادو ذلك. فالسيولة بالنسبة لهولاء تعني </w:t>
      </w:r>
      <w:r w:rsidRPr="00243673">
        <w:rPr>
          <w:b/>
          <w:bCs/>
          <w:u w:val="single"/>
          <w:rtl/>
        </w:rPr>
        <w:t>الأمان</w:t>
      </w:r>
      <w:r w:rsidRPr="00243673">
        <w:rPr>
          <w:b/>
          <w:bCs/>
          <w:rtl/>
        </w:rPr>
        <w:t xml:space="preserve"> ودرجة عالية من الثقة في البنك التجاري.</w:t>
      </w:r>
    </w:p>
    <w:p w:rsidR="00EA4B45" w:rsidRPr="00243673" w:rsidRDefault="00EA4B45" w:rsidP="00EA4B45">
      <w:pPr>
        <w:rPr>
          <w:u w:val="single"/>
        </w:rPr>
      </w:pPr>
      <w:r w:rsidRPr="00243673">
        <w:rPr>
          <w:b/>
          <w:bCs/>
          <w:u w:val="single"/>
          <w:rtl/>
        </w:rPr>
        <w:t>ب- توظيف يحقق ربحية عالية</w:t>
      </w:r>
    </w:p>
    <w:p w:rsidR="00EA4B45" w:rsidRPr="00243673" w:rsidRDefault="00EA4B45" w:rsidP="00EA4B45">
      <w:r w:rsidRPr="00243673">
        <w:rPr>
          <w:b/>
          <w:bCs/>
          <w:rtl/>
        </w:rPr>
        <w:t>لكي يحقق البنك التجاري درجة عالية من الربحية فلابد أن يوظف (يستخدم) القدر الأكبر من موارده (</w:t>
      </w:r>
      <w:r w:rsidRPr="00243673">
        <w:rPr>
          <w:b/>
          <w:bCs/>
        </w:rPr>
        <w:t>75</w:t>
      </w:r>
      <w:r w:rsidRPr="00243673">
        <w:rPr>
          <w:b/>
          <w:bCs/>
          <w:rtl/>
        </w:rPr>
        <w:t>%) في مجالات تعود عليه بعائد أو ربح، مثل:</w:t>
      </w:r>
    </w:p>
    <w:p w:rsidR="00EA4B45" w:rsidRPr="00243673" w:rsidRDefault="00EA4B45" w:rsidP="00EA4B45">
      <w:r w:rsidRPr="00243673">
        <w:rPr>
          <w:b/>
          <w:bCs/>
          <w:rtl/>
        </w:rPr>
        <w:t>- توظيفها في شراء الأوراق المالية المدرة للعائد (ربح).</w:t>
      </w:r>
    </w:p>
    <w:p w:rsidR="00EA4B45" w:rsidRPr="00243673" w:rsidRDefault="00EA4B45" w:rsidP="00EA4B45">
      <w:pPr>
        <w:rPr>
          <w:rtl/>
        </w:rPr>
      </w:pPr>
      <w:r w:rsidRPr="00243673">
        <w:rPr>
          <w:b/>
          <w:bCs/>
          <w:rtl/>
        </w:rPr>
        <w:t xml:space="preserve"> - اقراضها للغير مقابل الحصول على فائدة (سعر فائدة دائن).</w:t>
      </w:r>
    </w:p>
    <w:p w:rsidR="00EA4B45" w:rsidRPr="00243673" w:rsidRDefault="00EA4B45" w:rsidP="00EA4B45">
      <w:pPr>
        <w:rPr>
          <w:rtl/>
        </w:rPr>
      </w:pPr>
      <w:r w:rsidRPr="00243673">
        <w:rPr>
          <w:b/>
          <w:bCs/>
          <w:rtl/>
        </w:rPr>
        <w:t xml:space="preserve"> - استثمارها بصورة مباشرة في مشروعات مملوكة للبنك تحقق عائد (ربح).</w:t>
      </w:r>
    </w:p>
    <w:p w:rsidR="00EA4B45" w:rsidRPr="00243673" w:rsidRDefault="00EA4B45" w:rsidP="00EA4B45">
      <w:r w:rsidRPr="00243673">
        <w:rPr>
          <w:b/>
          <w:bCs/>
          <w:rtl/>
        </w:rPr>
        <w:lastRenderedPageBreak/>
        <w:t xml:space="preserve">لكن يلاحظ أن جميع مجالات التوظيف (الاستخدام) السابق ذكرها تكون محفوفة </w:t>
      </w:r>
      <w:r w:rsidRPr="00243673">
        <w:rPr>
          <w:b/>
          <w:bCs/>
          <w:u w:val="single"/>
          <w:rtl/>
        </w:rPr>
        <w:t>بالمخاطر</w:t>
      </w:r>
      <w:r w:rsidRPr="00243673">
        <w:rPr>
          <w:b/>
          <w:bCs/>
          <w:rtl/>
        </w:rPr>
        <w:t xml:space="preserve">. فالأوراق المالية قد تنخفض أسعارها في السوق والقروض التي تمنح للغير قد يعجز البعض عن سدادها والاستثمارات المباشرة قد يحقق بعضها خسائر. </w:t>
      </w:r>
    </w:p>
    <w:p w:rsidR="00EA4B45" w:rsidRPr="00243673" w:rsidRDefault="00BE786B" w:rsidP="00EA4B45">
      <w:pPr>
        <w:rPr>
          <w:sz w:val="32"/>
          <w:szCs w:val="32"/>
          <w:rtl/>
        </w:rPr>
      </w:pPr>
      <w:r w:rsidRPr="00243673">
        <w:rPr>
          <w:rFonts w:hint="cs"/>
          <w:b/>
          <w:bCs/>
          <w:sz w:val="32"/>
          <w:szCs w:val="32"/>
          <w:highlight w:val="cyan"/>
          <w:rtl/>
        </w:rPr>
        <w:t>3-</w:t>
      </w:r>
      <w:r w:rsidR="00EA4B45" w:rsidRPr="00243673">
        <w:rPr>
          <w:b/>
          <w:bCs/>
          <w:sz w:val="32"/>
          <w:szCs w:val="32"/>
          <w:rtl/>
        </w:rPr>
        <w:t>التعارض بين الربحية والسيولة</w:t>
      </w:r>
    </w:p>
    <w:p w:rsidR="00EA4B45" w:rsidRPr="00243673" w:rsidRDefault="00EA4B45" w:rsidP="00EA4B45">
      <w:r w:rsidRPr="00243673">
        <w:rPr>
          <w:b/>
          <w:bCs/>
          <w:rtl/>
        </w:rPr>
        <w:t>قضية التعارض بين الربحية والسيولة - وهي ما تعرف أيضا بمعضلة البنوك التجارية - تتجسد في أن الأطراف التي توفر الموارد للبنك التجاري لهم مصالح متناقضة. ويمكن توضيح هذا التناقض على النحو التالي:</w:t>
      </w:r>
    </w:p>
    <w:p w:rsidR="00EA4B45" w:rsidRPr="00243673" w:rsidRDefault="00EA4B45" w:rsidP="00EA4B45">
      <w:r w:rsidRPr="00243673">
        <w:rPr>
          <w:b/>
          <w:bCs/>
          <w:rtl/>
        </w:rPr>
        <w:t>- أصحاب الموارد غير الذاتية من مصلحتهم أن  يوفر البنك التجاري لهم درجة عالية من السيولة لأنها تحقق لهم الأمان، لكن في ذات الوقت نجد أن السيولة لا تحقق عائد (ربح السيولة يساوي صفر).</w:t>
      </w:r>
    </w:p>
    <w:p w:rsidR="00EA4B45" w:rsidRPr="00243673" w:rsidRDefault="00EA4B45" w:rsidP="00EA4B45">
      <w:pPr>
        <w:rPr>
          <w:rtl/>
        </w:rPr>
      </w:pPr>
      <w:r w:rsidRPr="00243673">
        <w:rPr>
          <w:b/>
          <w:bCs/>
          <w:rtl/>
        </w:rPr>
        <w:t>- أصحاب الموارد الذاتية من مصلحتهم أن  يوفر البنك التجاري لهم درجة عالية من الربحية، لكن في ذات الوقت نجد أن الربحية تجلب المخاطر.</w:t>
      </w:r>
    </w:p>
    <w:p w:rsidR="00EA4B45" w:rsidRPr="00243673" w:rsidRDefault="00EA4B45"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826017" w:rsidRDefault="00757176" w:rsidP="00757176">
      <w:pPr>
        <w:rPr>
          <w:rFonts w:hint="cs"/>
          <w:b/>
          <w:bCs/>
          <w:sz w:val="28"/>
          <w:szCs w:val="28"/>
          <w:u w:val="single"/>
          <w:rtl/>
        </w:rPr>
      </w:pPr>
      <w:r w:rsidRPr="00826017">
        <w:rPr>
          <w:rFonts w:hint="cs"/>
          <w:b/>
          <w:bCs/>
          <w:sz w:val="28"/>
          <w:szCs w:val="28"/>
          <w:u w:val="single"/>
          <w:rtl/>
        </w:rPr>
        <w:lastRenderedPageBreak/>
        <w:t xml:space="preserve">ثانيا </w:t>
      </w:r>
      <w:r w:rsidRPr="00826017">
        <w:rPr>
          <w:b/>
          <w:bCs/>
          <w:sz w:val="28"/>
          <w:szCs w:val="28"/>
          <w:u w:val="single"/>
          <w:rtl/>
        </w:rPr>
        <w:t>الموارد بالبنوك الإسلامية</w:t>
      </w:r>
    </w:p>
    <w:p w:rsidR="00000000" w:rsidRPr="00826017" w:rsidRDefault="00D948CB" w:rsidP="00757176">
      <w:pPr>
        <w:rPr>
          <w:b/>
          <w:bCs/>
        </w:rPr>
      </w:pPr>
      <w:r w:rsidRPr="00826017">
        <w:rPr>
          <w:b/>
          <w:bCs/>
          <w:rtl/>
        </w:rPr>
        <w:t xml:space="preserve">عند حديثنا عن البنوك التجارية، تم تعريف الموارد بأنها جميع مصادر الأموال التي ترد إلي خزينة </w:t>
      </w:r>
      <w:r w:rsidRPr="00826017">
        <w:rPr>
          <w:b/>
          <w:bCs/>
          <w:rtl/>
        </w:rPr>
        <w:t xml:space="preserve">البنك وتصبح متاحة لديه لكي يوجهها للاستخدامات المختلفة بحيث تعود بالنفع وتحقق المصلحة من وجهة نظر أصحاب هذه الموارد. </w:t>
      </w:r>
    </w:p>
    <w:p w:rsidR="00000000" w:rsidRPr="00826017" w:rsidRDefault="00D948CB" w:rsidP="00757176">
      <w:pPr>
        <w:rPr>
          <w:rFonts w:hint="cs"/>
          <w:b/>
          <w:bCs/>
          <w:rtl/>
        </w:rPr>
      </w:pPr>
      <w:r w:rsidRPr="00826017">
        <w:rPr>
          <w:b/>
          <w:bCs/>
          <w:rtl/>
        </w:rPr>
        <w:t xml:space="preserve"> </w:t>
      </w:r>
      <w:r w:rsidRPr="00826017">
        <w:rPr>
          <w:b/>
          <w:bCs/>
          <w:rtl/>
        </w:rPr>
        <w:t>تنقسم موارد ا</w:t>
      </w:r>
      <w:r w:rsidRPr="00826017">
        <w:rPr>
          <w:b/>
          <w:bCs/>
          <w:rtl/>
        </w:rPr>
        <w:t xml:space="preserve">لبنك الإسلامي - كما هو الحال </w:t>
      </w:r>
      <w:r w:rsidRPr="00826017">
        <w:rPr>
          <w:b/>
          <w:bCs/>
          <w:rtl/>
        </w:rPr>
        <w:t>بالنسبة ل</w:t>
      </w:r>
      <w:r w:rsidRPr="00826017">
        <w:rPr>
          <w:b/>
          <w:bCs/>
          <w:rtl/>
        </w:rPr>
        <w:t>نظيره البنك التجاري - إلي نوعين:</w:t>
      </w:r>
    </w:p>
    <w:p w:rsidR="00757176" w:rsidRPr="00826017" w:rsidRDefault="00757176" w:rsidP="00757176">
      <w:pPr>
        <w:rPr>
          <w:b/>
          <w:bCs/>
        </w:rPr>
      </w:pPr>
      <w:r w:rsidRPr="00826017">
        <w:rPr>
          <w:b/>
          <w:bCs/>
          <w:rtl/>
        </w:rPr>
        <w:t>- الموارد الذاتية (الداخلية).</w:t>
      </w:r>
    </w:p>
    <w:p w:rsidR="00757176" w:rsidRPr="00826017" w:rsidRDefault="00757176" w:rsidP="00757176">
      <w:pPr>
        <w:rPr>
          <w:b/>
          <w:bCs/>
          <w:rtl/>
        </w:rPr>
      </w:pPr>
      <w:r w:rsidRPr="00826017">
        <w:rPr>
          <w:b/>
          <w:bCs/>
          <w:rtl/>
        </w:rPr>
        <w:t>- الموارد غير الذاتية (الخارجية).</w:t>
      </w:r>
    </w:p>
    <w:p w:rsidR="00757176" w:rsidRPr="00826017" w:rsidRDefault="00757176" w:rsidP="00757176">
      <w:pPr>
        <w:rPr>
          <w:rFonts w:hint="cs"/>
          <w:b/>
          <w:bCs/>
          <w:rtl/>
        </w:rPr>
      </w:pPr>
      <w:r w:rsidRPr="00826017">
        <w:rPr>
          <w:b/>
          <w:bCs/>
          <w:rtl/>
        </w:rPr>
        <w:t>تخلتف موراد البنك الإسلامي عن الموارد المتاحة لدى البنك التجاري من حيث البنود والمكونات التي تشكل هذه الموراد (هيكل أو تركيبة الموارد)، وهو الأمر الذي سيتضح لنا جليا عند الحديث بشكل مفصل عن هذه</w:t>
      </w:r>
      <w:r w:rsidRPr="00826017">
        <w:rPr>
          <w:rFonts w:hint="cs"/>
          <w:b/>
          <w:bCs/>
          <w:rtl/>
        </w:rPr>
        <w:t xml:space="preserve"> </w:t>
      </w:r>
      <w:r w:rsidRPr="00826017">
        <w:rPr>
          <w:b/>
          <w:bCs/>
          <w:rtl/>
        </w:rPr>
        <w:t>البنود والمكونات.</w:t>
      </w:r>
    </w:p>
    <w:p w:rsidR="00757176" w:rsidRPr="000447A3" w:rsidRDefault="000447A3" w:rsidP="00757176">
      <w:pPr>
        <w:rPr>
          <w:rFonts w:hint="cs"/>
          <w:b/>
          <w:bCs/>
          <w:sz w:val="28"/>
          <w:szCs w:val="28"/>
          <w:u w:val="single"/>
          <w:rtl/>
        </w:rPr>
      </w:pPr>
      <w:r w:rsidRPr="000447A3">
        <w:rPr>
          <w:rFonts w:hint="cs"/>
          <w:b/>
          <w:bCs/>
          <w:sz w:val="28"/>
          <w:szCs w:val="28"/>
          <w:highlight w:val="cyan"/>
          <w:u w:val="single"/>
          <w:rtl/>
        </w:rPr>
        <w:t>1-</w:t>
      </w:r>
      <w:r>
        <w:rPr>
          <w:rFonts w:hint="cs"/>
          <w:b/>
          <w:bCs/>
          <w:sz w:val="28"/>
          <w:szCs w:val="28"/>
          <w:u w:val="single"/>
          <w:rtl/>
        </w:rPr>
        <w:t xml:space="preserve"> </w:t>
      </w:r>
      <w:r w:rsidR="00757176" w:rsidRPr="000447A3">
        <w:rPr>
          <w:b/>
          <w:bCs/>
          <w:sz w:val="28"/>
          <w:szCs w:val="28"/>
          <w:u w:val="single"/>
          <w:rtl/>
        </w:rPr>
        <w:t>الموارد بالبنوك الإسلامية</w:t>
      </w:r>
    </w:p>
    <w:p w:rsidR="00757176" w:rsidRPr="00826017" w:rsidRDefault="00757176" w:rsidP="00757176">
      <w:pPr>
        <w:rPr>
          <w:sz w:val="28"/>
          <w:szCs w:val="28"/>
          <w:u w:val="single"/>
        </w:rPr>
      </w:pPr>
      <w:r w:rsidRPr="000447A3">
        <w:rPr>
          <w:b/>
          <w:bCs/>
          <w:sz w:val="28"/>
          <w:szCs w:val="28"/>
          <w:u w:val="single"/>
          <w:rtl/>
        </w:rPr>
        <w:t>أ-</w:t>
      </w:r>
      <w:r w:rsidRPr="00826017">
        <w:rPr>
          <w:b/>
          <w:bCs/>
          <w:sz w:val="28"/>
          <w:szCs w:val="28"/>
          <w:u w:val="single"/>
          <w:rtl/>
        </w:rPr>
        <w:t xml:space="preserve"> الموارد الذاتية</w:t>
      </w:r>
    </w:p>
    <w:p w:rsidR="00000000" w:rsidRPr="005177C7" w:rsidRDefault="00D948CB" w:rsidP="005177C7">
      <w:pPr>
        <w:ind w:left="360"/>
        <w:jc w:val="both"/>
      </w:pPr>
      <w:r w:rsidRPr="005177C7">
        <w:rPr>
          <w:b/>
          <w:bCs/>
          <w:rtl/>
        </w:rPr>
        <w:t>بطريقة مشابهة للبنك التجاري، تتضمن الموارد الذاتية للبنك الإسلامي مصدرين أساسيين، هما:</w:t>
      </w:r>
    </w:p>
    <w:p w:rsidR="005177C7" w:rsidRPr="005177C7" w:rsidRDefault="005177C7" w:rsidP="005177C7">
      <w:pPr>
        <w:rPr>
          <w:rtl/>
        </w:rPr>
      </w:pPr>
      <w:r w:rsidRPr="005177C7">
        <w:rPr>
          <w:b/>
          <w:bCs/>
          <w:rtl/>
        </w:rPr>
        <w:t>- أموال المؤسسين أو ما يعرف بأموال أصحاب حقوق الملكية، حيث يقوم هؤلاء بتوفير رأس مال البنك، والذي عادة ما يتم استغلاله في الصرف على متطلبات التاسيس. وإذا أراد البنك الإسلامي - في المستقبل - التوسع في نشاطه، يقوم بزيادة رأس المال.</w:t>
      </w:r>
    </w:p>
    <w:p w:rsidR="005177C7" w:rsidRPr="005177C7" w:rsidRDefault="005177C7" w:rsidP="005177C7">
      <w:pPr>
        <w:rPr>
          <w:rtl/>
        </w:rPr>
      </w:pPr>
      <w:r w:rsidRPr="005177C7">
        <w:rPr>
          <w:b/>
          <w:bCs/>
          <w:rtl/>
        </w:rPr>
        <w:t xml:space="preserve">      - الاحتياطي (مخصص الأرباح غير الموزعة). </w:t>
      </w:r>
    </w:p>
    <w:p w:rsidR="00757176" w:rsidRDefault="005177C7" w:rsidP="005177C7">
      <w:pPr>
        <w:rPr>
          <w:rFonts w:hint="cs"/>
          <w:rtl/>
        </w:rPr>
      </w:pPr>
      <w:r w:rsidRPr="005177C7">
        <w:rPr>
          <w:b/>
          <w:bCs/>
          <w:rtl/>
        </w:rPr>
        <w:t xml:space="preserve">      - مخصصات الاهلاك وصافي</w:t>
      </w:r>
      <w:r>
        <w:rPr>
          <w:rFonts w:hint="cs"/>
          <w:rtl/>
        </w:rPr>
        <w:t xml:space="preserve"> </w:t>
      </w:r>
      <w:r w:rsidRPr="005177C7">
        <w:rPr>
          <w:b/>
          <w:bCs/>
          <w:rtl/>
        </w:rPr>
        <w:t xml:space="preserve"> الموجودات الثابتة.</w:t>
      </w:r>
    </w:p>
    <w:p w:rsidR="005177C7" w:rsidRPr="005177C7" w:rsidRDefault="005177C7" w:rsidP="005177C7">
      <w:r w:rsidRPr="005177C7">
        <w:rPr>
          <w:b/>
          <w:bCs/>
          <w:rtl/>
        </w:rPr>
        <w:t xml:space="preserve">* خلافا للبنك التجاري، ينتظر أن تشكل موارد البنك الإسلامي الذاتية نسبة أكبر من تلك النسبة التي لدي البنك التجاري من جملة موارده (تتراوح هذه النسبة - عادة - ما بين </w:t>
      </w:r>
      <w:r w:rsidRPr="005177C7">
        <w:rPr>
          <w:b/>
          <w:bCs/>
        </w:rPr>
        <w:t>20</w:t>
      </w:r>
      <w:r w:rsidRPr="005177C7">
        <w:rPr>
          <w:b/>
          <w:bCs/>
          <w:rtl/>
        </w:rPr>
        <w:t xml:space="preserve">% إلي </w:t>
      </w:r>
      <w:r w:rsidRPr="005177C7">
        <w:rPr>
          <w:b/>
          <w:bCs/>
        </w:rPr>
        <w:t>25</w:t>
      </w:r>
      <w:r w:rsidRPr="005177C7">
        <w:rPr>
          <w:b/>
          <w:bCs/>
          <w:rtl/>
        </w:rPr>
        <w:t>%).</w:t>
      </w:r>
    </w:p>
    <w:p w:rsidR="005177C7" w:rsidRPr="00826017" w:rsidRDefault="005177C7" w:rsidP="005177C7">
      <w:pPr>
        <w:rPr>
          <w:sz w:val="28"/>
          <w:szCs w:val="28"/>
          <w:u w:val="single"/>
        </w:rPr>
      </w:pPr>
      <w:r w:rsidRPr="000447A3">
        <w:rPr>
          <w:b/>
          <w:bCs/>
          <w:sz w:val="28"/>
          <w:szCs w:val="28"/>
          <w:u w:val="single"/>
          <w:rtl/>
        </w:rPr>
        <w:t>ب-</w:t>
      </w:r>
      <w:r w:rsidRPr="00826017">
        <w:rPr>
          <w:b/>
          <w:bCs/>
          <w:sz w:val="28"/>
          <w:szCs w:val="28"/>
          <w:u w:val="single"/>
          <w:rtl/>
        </w:rPr>
        <w:t xml:space="preserve"> الموارد غير الذاتية (الخارجية)</w:t>
      </w:r>
    </w:p>
    <w:p w:rsidR="005177C7" w:rsidRPr="005177C7" w:rsidRDefault="005177C7" w:rsidP="005177C7">
      <w:r w:rsidRPr="005177C7">
        <w:rPr>
          <w:b/>
          <w:bCs/>
          <w:rtl/>
        </w:rPr>
        <w:t>- الودائع تحت الطلب (الجارية)، حيث لا يختلف البنك الإسلامي عن البنك التجاري في هذا الجانب لكون أن الودائع تحت الطلب لا تعتبر من نمط المعاملات الربوية (يقبلها البنك الإسلامي بموجب عقد أمانة يجوز له التصرف فيها).</w:t>
      </w:r>
    </w:p>
    <w:p w:rsidR="005177C7" w:rsidRPr="005177C7" w:rsidRDefault="005177C7" w:rsidP="005177C7">
      <w:pPr>
        <w:rPr>
          <w:rtl/>
        </w:rPr>
      </w:pPr>
      <w:r w:rsidRPr="005177C7">
        <w:rPr>
          <w:b/>
          <w:bCs/>
          <w:rtl/>
        </w:rPr>
        <w:t xml:space="preserve"> - الودائع الاستثمارية، وهي بديل للودائع الآجلة (الثابتة) لدي البنك التجاري، باعتبارها نمط من المعاملات الربوية. ويقوم البنك الإسلامي بتلقي الودائع الاستثمارية واستخدامها (بصورة مباشرة أو غير مباشرة) في مجالات استثمارية مختلفة في مقابل مشاركة أصحاب هذه الودائع في الربح أو الخسارة (على أساس عقد المشاركة/المضاربة)، علما بأن هذه الودائع تعتبر </w:t>
      </w:r>
      <w:r w:rsidRPr="005177C7">
        <w:rPr>
          <w:b/>
          <w:bCs/>
          <w:u w:val="single"/>
          <w:rtl/>
        </w:rPr>
        <w:t>أهم مصدر على الاطلاق لموارد البنك الإسلامي الخارجية</w:t>
      </w:r>
      <w:r w:rsidRPr="005177C7">
        <w:rPr>
          <w:b/>
          <w:bCs/>
          <w:rtl/>
        </w:rPr>
        <w:t xml:space="preserve">. </w:t>
      </w:r>
    </w:p>
    <w:p w:rsidR="005177C7" w:rsidRDefault="005177C7" w:rsidP="005177C7">
      <w:pPr>
        <w:rPr>
          <w:rFonts w:hint="cs"/>
          <w:rtl/>
        </w:rPr>
      </w:pPr>
      <w:r w:rsidRPr="005177C7">
        <w:rPr>
          <w:b/>
          <w:bCs/>
          <w:rtl/>
        </w:rPr>
        <w:t>-  الودائع الادخارية، ونظرا لكون أن هذا النوع من الودائع لدي البنك التجاري يعتبر من نمط المعاملات الربوية، فيجوز للبنك الإسلامي أن يقبل الودائع الادخارية على أساس عقد المشاركة/المضاربة، حيث ويقوم باستخدام أموال هذه الودائع (بصورة مباشرة أو غير مباشرة) في مجالات استثمارية مختلفة في مقابل مشاركة أصحابها في الربح أو الخسارة</w:t>
      </w:r>
    </w:p>
    <w:p w:rsidR="00000000" w:rsidRDefault="00D948CB" w:rsidP="005177C7">
      <w:pPr>
        <w:rPr>
          <w:rFonts w:hint="cs"/>
          <w:rtl/>
        </w:rPr>
      </w:pPr>
      <w:r w:rsidRPr="005177C7">
        <w:rPr>
          <w:b/>
          <w:bCs/>
          <w:rtl/>
        </w:rPr>
        <w:t>الأموال المقترضة من الغير</w:t>
      </w:r>
      <w:r w:rsidRPr="005177C7">
        <w:rPr>
          <w:b/>
          <w:bCs/>
          <w:rtl/>
        </w:rPr>
        <w:t>،</w:t>
      </w:r>
      <w:r w:rsidRPr="005177C7">
        <w:rPr>
          <w:b/>
          <w:bCs/>
          <w:rtl/>
        </w:rPr>
        <w:t xml:space="preserve"> </w:t>
      </w:r>
      <w:r w:rsidRPr="005177C7">
        <w:rPr>
          <w:b/>
          <w:bCs/>
          <w:rtl/>
        </w:rPr>
        <w:t>وتشكل أيضا أحد بنود الموارد غير الذاتية، حيث يسمح للبنوك الإسلامية بالاقتراض أما من البنك المركزي</w:t>
      </w:r>
      <w:r w:rsidRPr="005177C7">
        <w:rPr>
          <w:b/>
          <w:bCs/>
          <w:rtl/>
        </w:rPr>
        <w:t xml:space="preserve"> أو من البنوك الأخري </w:t>
      </w:r>
      <w:r w:rsidRPr="005177C7">
        <w:rPr>
          <w:b/>
          <w:bCs/>
          <w:u w:val="single"/>
          <w:rtl/>
        </w:rPr>
        <w:t>شريطة أن يتم هذا الاقتراض وفق صيغة القرض الحسن، والا فلا يجوز لها الاقتراض من الغير.</w:t>
      </w:r>
      <w:r w:rsidRPr="005177C7">
        <w:rPr>
          <w:b/>
          <w:bCs/>
          <w:rtl/>
        </w:rPr>
        <w:t xml:space="preserve"> </w:t>
      </w:r>
    </w:p>
    <w:p w:rsidR="005177C7" w:rsidRPr="005177C7" w:rsidRDefault="005177C7" w:rsidP="005177C7">
      <w:r w:rsidRPr="005177C7">
        <w:rPr>
          <w:b/>
          <w:bCs/>
          <w:rtl/>
        </w:rPr>
        <w:t xml:space="preserve">(تعتبرأضعف مكون في جانب الموارد غير الذاتية بالنسبة للبنك الإسلامي). </w:t>
      </w:r>
    </w:p>
    <w:p w:rsidR="005177C7" w:rsidRPr="00826017" w:rsidRDefault="00826017" w:rsidP="005177C7">
      <w:pPr>
        <w:rPr>
          <w:rFonts w:hint="cs"/>
          <w:sz w:val="32"/>
          <w:szCs w:val="32"/>
          <w:u w:val="single"/>
          <w:rtl/>
        </w:rPr>
      </w:pPr>
      <w:r w:rsidRPr="000447A3">
        <w:rPr>
          <w:rFonts w:hint="cs"/>
          <w:b/>
          <w:bCs/>
          <w:sz w:val="32"/>
          <w:szCs w:val="32"/>
          <w:highlight w:val="cyan"/>
          <w:u w:val="single"/>
          <w:rtl/>
        </w:rPr>
        <w:lastRenderedPageBreak/>
        <w:t>2-</w:t>
      </w:r>
      <w:r w:rsidRPr="00826017">
        <w:rPr>
          <w:rFonts w:hint="cs"/>
          <w:b/>
          <w:bCs/>
          <w:sz w:val="32"/>
          <w:szCs w:val="32"/>
          <w:u w:val="single"/>
          <w:rtl/>
        </w:rPr>
        <w:t xml:space="preserve"> </w:t>
      </w:r>
      <w:r w:rsidR="005177C7" w:rsidRPr="00826017">
        <w:rPr>
          <w:b/>
          <w:bCs/>
          <w:sz w:val="32"/>
          <w:szCs w:val="32"/>
          <w:u w:val="single"/>
          <w:rtl/>
        </w:rPr>
        <w:t>الاستخدامات بالبنوك الإسلامية</w:t>
      </w:r>
    </w:p>
    <w:p w:rsidR="005177C7" w:rsidRDefault="005177C7" w:rsidP="005177C7">
      <w:pPr>
        <w:rPr>
          <w:rFonts w:hint="cs"/>
          <w:rtl/>
        </w:rPr>
      </w:pPr>
      <w:r w:rsidRPr="005177C7">
        <w:rPr>
          <w:b/>
          <w:bCs/>
          <w:rtl/>
        </w:rPr>
        <w:t>كما هو الحال بالنسبة للبنك التجاري، يقصد باستخدامات الموراد بالبنوك الإسلامية الكيفية التي يتم بها توظيف أو استغلال جميع الموارد المتاحة للبنك الإسلامي. ونلفت النظر هنا إلي أن استخدامات الموراد يمثل الجانب الأكثر وضوحا من حيث التباين بين طبيعة عمل البنك الإسلامي وطبيعة عمل البنك التجاري. وبصفة عامة، يكون أمام البنك الإسلامي ثلاثة خيارات لتوظيف أمواله:</w:t>
      </w:r>
    </w:p>
    <w:p w:rsidR="005177C7" w:rsidRPr="00826017" w:rsidRDefault="005177C7" w:rsidP="005177C7">
      <w:pPr>
        <w:rPr>
          <w:sz w:val="28"/>
          <w:szCs w:val="28"/>
          <w:u w:val="single"/>
        </w:rPr>
      </w:pPr>
      <w:r w:rsidRPr="00826017">
        <w:rPr>
          <w:b/>
          <w:bCs/>
          <w:sz w:val="28"/>
          <w:szCs w:val="28"/>
          <w:u w:val="single"/>
          <w:rtl/>
        </w:rPr>
        <w:t xml:space="preserve">أ- توظيف يحقق السيولة الكاملة </w:t>
      </w:r>
    </w:p>
    <w:p w:rsidR="005177C7" w:rsidRPr="005177C7" w:rsidRDefault="005177C7" w:rsidP="005177C7">
      <w:r w:rsidRPr="005177C7">
        <w:rPr>
          <w:b/>
          <w:bCs/>
          <w:rtl/>
        </w:rPr>
        <w:t xml:space="preserve">وفي هذا لا يختلف البنك الإسلامي عن نظيره البنك التجاري، يحتفظ بجزء من موارده في شكل نقود أما في خزينتة، أو في شكل ودائع جارية لدي البنك المركزي، أو لدي البنوك الأخري. وفي هذه الحالة، يحقق البنك الإسلامي مصلحة أصحاب الموارد غير الذاتية لأن السيولة تكون حاضرة لعمليات السحب متى ما أرادو ذلك. فالسيولة بالنسبة لهولاء تعني </w:t>
      </w:r>
      <w:r w:rsidRPr="005177C7">
        <w:rPr>
          <w:b/>
          <w:bCs/>
          <w:u w:val="single"/>
          <w:rtl/>
        </w:rPr>
        <w:t>الأمان</w:t>
      </w:r>
      <w:r w:rsidRPr="005177C7">
        <w:rPr>
          <w:b/>
          <w:bCs/>
          <w:rtl/>
        </w:rPr>
        <w:t xml:space="preserve"> ودرجة عالية من الثقة في البنك الإسلامي.</w:t>
      </w:r>
    </w:p>
    <w:p w:rsidR="005177C7" w:rsidRPr="00826017" w:rsidRDefault="005177C7" w:rsidP="005177C7">
      <w:pPr>
        <w:rPr>
          <w:sz w:val="28"/>
          <w:szCs w:val="28"/>
          <w:u w:val="single"/>
        </w:rPr>
      </w:pPr>
      <w:r w:rsidRPr="00826017">
        <w:rPr>
          <w:b/>
          <w:bCs/>
          <w:sz w:val="28"/>
          <w:szCs w:val="28"/>
          <w:u w:val="single"/>
          <w:rtl/>
        </w:rPr>
        <w:t>ب- توظيف قد يحقق ربح أوخسارة</w:t>
      </w:r>
    </w:p>
    <w:p w:rsidR="005177C7" w:rsidRPr="005177C7" w:rsidRDefault="005177C7" w:rsidP="005177C7">
      <w:r w:rsidRPr="005177C7">
        <w:rPr>
          <w:b/>
          <w:bCs/>
          <w:rtl/>
        </w:rPr>
        <w:t>ويوضح لنا هذا الجانب من الاستخدامات الاختلاف الجوهري بين البنك الإسلامي والبنك التجاري، حيث يستخدم تشكيلة من الصيغ الإسلامية والتي تشمل:</w:t>
      </w:r>
    </w:p>
    <w:p w:rsidR="005177C7" w:rsidRPr="005177C7" w:rsidRDefault="005177C7" w:rsidP="005177C7">
      <w:pPr>
        <w:rPr>
          <w:rtl/>
        </w:rPr>
      </w:pPr>
      <w:r w:rsidRPr="005177C7">
        <w:rPr>
          <w:b/>
          <w:bCs/>
          <w:rtl/>
        </w:rPr>
        <w:t xml:space="preserve"> - صيغ المشاركات أو الشركات:</w:t>
      </w:r>
    </w:p>
    <w:p w:rsidR="005177C7" w:rsidRPr="005177C7" w:rsidRDefault="005177C7" w:rsidP="005177C7">
      <w:pPr>
        <w:rPr>
          <w:rtl/>
        </w:rPr>
      </w:pPr>
      <w:r w:rsidRPr="005177C7">
        <w:rPr>
          <w:b/>
          <w:bCs/>
          <w:rtl/>
        </w:rPr>
        <w:t xml:space="preserve"> (المشاركة/المضاربة/المزارعة/المساقاة).</w:t>
      </w:r>
    </w:p>
    <w:p w:rsidR="005177C7" w:rsidRPr="005177C7" w:rsidRDefault="005177C7" w:rsidP="005177C7">
      <w:pPr>
        <w:rPr>
          <w:rtl/>
        </w:rPr>
      </w:pPr>
      <w:r w:rsidRPr="005177C7">
        <w:rPr>
          <w:b/>
          <w:bCs/>
          <w:rtl/>
        </w:rPr>
        <w:t xml:space="preserve"> - صيغ البيوع:</w:t>
      </w:r>
    </w:p>
    <w:p w:rsidR="005177C7" w:rsidRPr="005177C7" w:rsidRDefault="005177C7" w:rsidP="005177C7">
      <w:pPr>
        <w:rPr>
          <w:rtl/>
        </w:rPr>
      </w:pPr>
      <w:r w:rsidRPr="005177C7">
        <w:rPr>
          <w:b/>
          <w:bCs/>
          <w:rtl/>
        </w:rPr>
        <w:t xml:space="preserve"> (المرابحة/السلم/الاستصناع).</w:t>
      </w:r>
    </w:p>
    <w:p w:rsidR="005177C7" w:rsidRPr="005177C7" w:rsidRDefault="005177C7" w:rsidP="005177C7">
      <w:pPr>
        <w:rPr>
          <w:rtl/>
        </w:rPr>
      </w:pPr>
      <w:r w:rsidRPr="005177C7">
        <w:rPr>
          <w:b/>
          <w:bCs/>
          <w:rtl/>
        </w:rPr>
        <w:t xml:space="preserve"> - صيغ الاجارة أو التأجير:</w:t>
      </w:r>
    </w:p>
    <w:p w:rsidR="005177C7" w:rsidRDefault="005177C7" w:rsidP="005177C7">
      <w:pPr>
        <w:rPr>
          <w:rFonts w:hint="cs"/>
          <w:rtl/>
        </w:rPr>
      </w:pPr>
      <w:r w:rsidRPr="005177C7">
        <w:rPr>
          <w:b/>
          <w:bCs/>
          <w:rtl/>
        </w:rPr>
        <w:t xml:space="preserve"> (اجارةعادية/اجارة منتهية بالتمليك).</w:t>
      </w:r>
    </w:p>
    <w:p w:rsidR="005177C7" w:rsidRPr="005177C7" w:rsidRDefault="005177C7" w:rsidP="005177C7">
      <w:r w:rsidRPr="005177C7">
        <w:rPr>
          <w:b/>
          <w:bCs/>
          <w:rtl/>
        </w:rPr>
        <w:t>(مدي تباين استخدامات الصيغ والعقود في الواقع العملي والاختلافات بين تجارب الدول).</w:t>
      </w:r>
    </w:p>
    <w:p w:rsidR="005177C7" w:rsidRPr="00826017" w:rsidRDefault="005177C7" w:rsidP="005177C7">
      <w:pPr>
        <w:rPr>
          <w:sz w:val="28"/>
          <w:szCs w:val="28"/>
          <w:u w:val="single"/>
        </w:rPr>
      </w:pPr>
      <w:r w:rsidRPr="00826017">
        <w:rPr>
          <w:b/>
          <w:bCs/>
          <w:sz w:val="28"/>
          <w:szCs w:val="28"/>
          <w:u w:val="single"/>
          <w:rtl/>
        </w:rPr>
        <w:t>ب- توظيف قد يحقق ربح أوخسارة</w:t>
      </w:r>
    </w:p>
    <w:p w:rsidR="005177C7" w:rsidRPr="005177C7" w:rsidRDefault="005177C7" w:rsidP="005177C7">
      <w:r w:rsidRPr="005177C7">
        <w:rPr>
          <w:b/>
          <w:bCs/>
          <w:rtl/>
        </w:rPr>
        <w:t>بسبب تعدد الخيارات المتاحة والتي تندرج تحت الصيغ المذكورة سابقا، تكون لدي البنك الإسلامي القدرة على تنويع مجالات التوظيف لموراده لتشمل الآتي:</w:t>
      </w:r>
    </w:p>
    <w:p w:rsidR="005177C7" w:rsidRPr="005177C7" w:rsidRDefault="005177C7" w:rsidP="005177C7">
      <w:pPr>
        <w:rPr>
          <w:rtl/>
        </w:rPr>
      </w:pPr>
      <w:r w:rsidRPr="005177C7">
        <w:rPr>
          <w:b/>
          <w:bCs/>
          <w:rtl/>
        </w:rPr>
        <w:t xml:space="preserve"> - توظيفها في شراء الأوراق المالية عدا تلك التي تستند على سعر الفائدة (السندات/أذون الخزانة الحكومية).</w:t>
      </w:r>
    </w:p>
    <w:p w:rsidR="005177C7" w:rsidRPr="005177C7" w:rsidRDefault="005177C7" w:rsidP="005177C7">
      <w:pPr>
        <w:rPr>
          <w:rtl/>
        </w:rPr>
      </w:pPr>
      <w:r w:rsidRPr="005177C7">
        <w:rPr>
          <w:b/>
          <w:bCs/>
          <w:rtl/>
        </w:rPr>
        <w:t xml:space="preserve"> - الدخول في شراكات مع الغير في مختلف الأنشطة الزراعية والصناعية والتي تكون مباحة شرعا.</w:t>
      </w:r>
    </w:p>
    <w:p w:rsidR="005177C7" w:rsidRPr="005177C7" w:rsidRDefault="005177C7" w:rsidP="005177C7">
      <w:pPr>
        <w:rPr>
          <w:rtl/>
        </w:rPr>
      </w:pPr>
      <w:r w:rsidRPr="005177C7">
        <w:rPr>
          <w:b/>
          <w:bCs/>
          <w:rtl/>
        </w:rPr>
        <w:t xml:space="preserve"> - الاتجار مع الغير (في مختلف السلع والخدمات المباحة شرعا).</w:t>
      </w:r>
    </w:p>
    <w:p w:rsidR="005177C7" w:rsidRDefault="005177C7" w:rsidP="005177C7">
      <w:pPr>
        <w:rPr>
          <w:rFonts w:hint="cs"/>
          <w:rtl/>
        </w:rPr>
      </w:pPr>
      <w:r w:rsidRPr="005177C7">
        <w:rPr>
          <w:b/>
          <w:bCs/>
          <w:rtl/>
        </w:rPr>
        <w:t xml:space="preserve"> - يقوم البنك الإسلامي منفردا بالاستثمار</w:t>
      </w:r>
      <w:r>
        <w:rPr>
          <w:rFonts w:hint="cs"/>
          <w:rtl/>
        </w:rPr>
        <w:t xml:space="preserve"> </w:t>
      </w:r>
      <w:r w:rsidRPr="005177C7">
        <w:rPr>
          <w:b/>
          <w:bCs/>
          <w:rtl/>
        </w:rPr>
        <w:t>المباشر في المجالات المباحة شرعا.</w:t>
      </w:r>
    </w:p>
    <w:p w:rsidR="005177C7" w:rsidRPr="00826017" w:rsidRDefault="005177C7" w:rsidP="005177C7">
      <w:pPr>
        <w:rPr>
          <w:sz w:val="28"/>
          <w:szCs w:val="28"/>
          <w:u w:val="single"/>
        </w:rPr>
      </w:pPr>
      <w:r w:rsidRPr="00826017">
        <w:rPr>
          <w:b/>
          <w:bCs/>
          <w:sz w:val="28"/>
          <w:szCs w:val="28"/>
          <w:u w:val="single"/>
          <w:rtl/>
        </w:rPr>
        <w:t>ج- توظيف لا يحقق عائد</w:t>
      </w:r>
    </w:p>
    <w:p w:rsidR="00826017" w:rsidRPr="00826017" w:rsidRDefault="00826017" w:rsidP="00826017">
      <w:r w:rsidRPr="00826017">
        <w:rPr>
          <w:b/>
          <w:bCs/>
          <w:rtl/>
        </w:rPr>
        <w:t xml:space="preserve">ويشمل ذلك الحالة التي يقوم فيها البنك الإسلامي باقراض جانب من موارده للغير عن طريق صيغة القرض الحسن، وهو كما هو معلوم قرض بدون فائدة ولا يحقق عائد للبنك الإسلامي، ولذلك يتم اللجؤ إليه من قبل البنوك الإسلامية في نطاق محدود أو الخيار الآخر يتم اللجؤ إليه في اطار حزمة من العقود. </w:t>
      </w:r>
    </w:p>
    <w:p w:rsidR="00826017" w:rsidRPr="00826017" w:rsidRDefault="00826017" w:rsidP="00826017">
      <w:r w:rsidRPr="00826017">
        <w:rPr>
          <w:b/>
          <w:bCs/>
          <w:rtl/>
        </w:rPr>
        <w:lastRenderedPageBreak/>
        <w:t xml:space="preserve">مما سبق عرضه يمكن القول، أن مسألة التعارض بين الربحية والسيولة هي أيضا مطروحة بالنسبة للبنك الإسلامية، بل تكون هذه المسألة أشد حدة وأكثر الحاحا بالنسبة للبنك الإسلامي مقارنة بالبنك التجاري، بسبب ارتفاع درجة المخاطر التي يواجهها البنك الإسلامي مقارنة بنظيره البنك التجاري. </w:t>
      </w:r>
    </w:p>
    <w:p w:rsidR="00826017" w:rsidRPr="00826017" w:rsidRDefault="00826017" w:rsidP="00826017">
      <w:r w:rsidRPr="00826017">
        <w:rPr>
          <w:b/>
          <w:bCs/>
          <w:rtl/>
        </w:rPr>
        <w:t>ويمكن تلخيص أنواع المخاطر التي تتعرض لها البنوك الإاسلامية في الآتي:</w:t>
      </w:r>
    </w:p>
    <w:p w:rsidR="00826017" w:rsidRPr="00826017" w:rsidRDefault="00826017" w:rsidP="00826017">
      <w:pPr>
        <w:rPr>
          <w:rtl/>
        </w:rPr>
      </w:pPr>
      <w:r w:rsidRPr="00826017">
        <w:rPr>
          <w:b/>
          <w:bCs/>
          <w:rtl/>
        </w:rPr>
        <w:t xml:space="preserve"> - مخاطر التمويل أو الائتمان (ترتبط أكثر بصيغ البيوع وصيغة القرض الحسن).</w:t>
      </w:r>
    </w:p>
    <w:p w:rsidR="00826017" w:rsidRPr="00826017" w:rsidRDefault="00826017" w:rsidP="00826017">
      <w:pPr>
        <w:rPr>
          <w:rtl/>
        </w:rPr>
      </w:pPr>
      <w:r w:rsidRPr="00826017">
        <w:rPr>
          <w:b/>
          <w:bCs/>
          <w:rtl/>
        </w:rPr>
        <w:t xml:space="preserve"> - مخاطر السيولة (ترتبط أكثر بطبيعة الودائع بالبنك الإسلامي).</w:t>
      </w:r>
    </w:p>
    <w:p w:rsidR="00826017" w:rsidRPr="00826017" w:rsidRDefault="00826017" w:rsidP="00826017">
      <w:pPr>
        <w:rPr>
          <w:rtl/>
        </w:rPr>
      </w:pPr>
      <w:r w:rsidRPr="00826017">
        <w:rPr>
          <w:b/>
          <w:bCs/>
          <w:rtl/>
        </w:rPr>
        <w:t xml:space="preserve"> - مخاطر السوق (ترتبط أكثر بصيغ البيوع وصيغ المشاركات).</w:t>
      </w:r>
    </w:p>
    <w:p w:rsidR="00826017" w:rsidRPr="00826017" w:rsidRDefault="00826017" w:rsidP="00826017">
      <w:pPr>
        <w:rPr>
          <w:rtl/>
        </w:rPr>
      </w:pPr>
      <w:r w:rsidRPr="00826017">
        <w:rPr>
          <w:b/>
          <w:bCs/>
          <w:rtl/>
        </w:rPr>
        <w:t>- المخاطر التشغيلة (ترتبط أكثر بصيغ المشاركات/خبرة العنصر البشري/البنوك المركزية/التقنية المصرفية الحديثة).</w:t>
      </w:r>
    </w:p>
    <w:p w:rsidR="00826017" w:rsidRPr="00826017" w:rsidRDefault="00826017" w:rsidP="00826017">
      <w:pPr>
        <w:rPr>
          <w:rtl/>
        </w:rPr>
      </w:pPr>
      <w:r w:rsidRPr="00826017">
        <w:rPr>
          <w:b/>
          <w:bCs/>
          <w:rtl/>
        </w:rPr>
        <w:t>- المخاطر السياسة (ترتبط بمدي قبول المجتمع الدولي لفكرة البنوك الإسلامية).</w:t>
      </w:r>
    </w:p>
    <w:p w:rsidR="005177C7" w:rsidRPr="00826017" w:rsidRDefault="005177C7" w:rsidP="005177C7">
      <w:pPr>
        <w:rPr>
          <w:rtl/>
        </w:rPr>
      </w:pPr>
    </w:p>
    <w:p w:rsidR="005177C7" w:rsidRPr="005177C7" w:rsidRDefault="005177C7" w:rsidP="005177C7"/>
    <w:p w:rsidR="005177C7" w:rsidRPr="005177C7" w:rsidRDefault="005177C7" w:rsidP="005177C7"/>
    <w:p w:rsidR="005177C7" w:rsidRPr="005177C7" w:rsidRDefault="005177C7" w:rsidP="005177C7">
      <w:pPr>
        <w:rPr>
          <w:rtl/>
        </w:rPr>
      </w:pPr>
    </w:p>
    <w:p w:rsidR="00757176" w:rsidRPr="00243673" w:rsidRDefault="00757176" w:rsidP="00757176">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5779F6" w:rsidRPr="00243673" w:rsidRDefault="005779F6" w:rsidP="00EA4B45">
      <w:pPr>
        <w:rPr>
          <w:rtl/>
        </w:rPr>
      </w:pPr>
    </w:p>
    <w:p w:rsidR="00243673" w:rsidRDefault="00243673" w:rsidP="00EA4B45">
      <w:pPr>
        <w:rPr>
          <w:rFonts w:hint="cs"/>
          <w:rtl/>
        </w:rPr>
      </w:pPr>
    </w:p>
    <w:p w:rsidR="00826017" w:rsidRDefault="00826017" w:rsidP="00EA4B45">
      <w:pPr>
        <w:rPr>
          <w:rtl/>
        </w:rPr>
      </w:pPr>
    </w:p>
    <w:p w:rsidR="00243673" w:rsidRDefault="00243673" w:rsidP="00EA4B45">
      <w:pPr>
        <w:rPr>
          <w:rtl/>
        </w:rPr>
      </w:pPr>
    </w:p>
    <w:p w:rsidR="00243673" w:rsidRPr="00243673" w:rsidRDefault="00243673" w:rsidP="00EA4B45">
      <w:pPr>
        <w:rPr>
          <w:rtl/>
        </w:rPr>
      </w:pPr>
    </w:p>
    <w:p w:rsidR="005779F6" w:rsidRPr="00243673" w:rsidRDefault="005779F6" w:rsidP="00EA4B45">
      <w:pPr>
        <w:rPr>
          <w:rtl/>
        </w:rPr>
      </w:pPr>
    </w:p>
    <w:p w:rsidR="005779F6" w:rsidRPr="00243673" w:rsidRDefault="005779F6" w:rsidP="005779F6">
      <w:pPr>
        <w:rPr>
          <w:b/>
          <w:bCs/>
          <w:sz w:val="36"/>
          <w:szCs w:val="36"/>
          <w:u w:val="single"/>
          <w:rtl/>
        </w:rPr>
      </w:pPr>
      <w:r w:rsidRPr="00243673">
        <w:rPr>
          <w:rFonts w:hint="cs"/>
          <w:b/>
          <w:bCs/>
          <w:sz w:val="36"/>
          <w:szCs w:val="36"/>
          <w:u w:val="single"/>
          <w:rtl/>
        </w:rPr>
        <w:lastRenderedPageBreak/>
        <w:t xml:space="preserve">الثالثة- </w:t>
      </w:r>
      <w:r w:rsidRPr="00243673">
        <w:rPr>
          <w:b/>
          <w:bCs/>
          <w:sz w:val="36"/>
          <w:szCs w:val="36"/>
          <w:u w:val="single"/>
          <w:rtl/>
        </w:rPr>
        <w:t>ميزانية البنك المركزي</w:t>
      </w:r>
    </w:p>
    <w:p w:rsidR="0033277F" w:rsidRPr="00243673" w:rsidRDefault="00243673" w:rsidP="005779F6">
      <w:pPr>
        <w:ind w:left="360"/>
      </w:pPr>
      <w:r w:rsidRPr="00243673">
        <w:rPr>
          <w:b/>
          <w:bCs/>
          <w:rtl/>
        </w:rPr>
        <w:t xml:space="preserve">تبين ميزانية البنك المركزي بصفة عامة مصادر أمواله وأوجه استخدامات هذه الأموال، والتي يتم التعبير عنها وفق المفاهيم والأعراف المحاسبية بالخصوم (المطلوبات) من جانب والأصول (الموجودات) في الجانب الآخر. </w:t>
      </w:r>
    </w:p>
    <w:p w:rsidR="0033277F" w:rsidRPr="00243673" w:rsidRDefault="00243673" w:rsidP="005779F6">
      <w:pPr>
        <w:ind w:left="360"/>
        <w:rPr>
          <w:rtl/>
        </w:rPr>
      </w:pPr>
      <w:r w:rsidRPr="00243673">
        <w:rPr>
          <w:b/>
          <w:bCs/>
          <w:rtl/>
        </w:rPr>
        <w:t xml:space="preserve"> يجب التنبيه إلي أن البنك المركزي لا يعتبر من المؤسسات التي تهدف إلي تحقيق الربح التجاري. وبالتالي فإن مؤشرات الأداء التي يتم تطبيقها على سائر البنوك الأخري، والتي تستمد من بيانات ميزانياتها، لا تنطبق على البنك المركزي ولا تلائمه بسبب الاختلاف في الأهداف.</w:t>
      </w:r>
    </w:p>
    <w:p w:rsidR="005779F6" w:rsidRPr="00243673" w:rsidRDefault="005779F6" w:rsidP="005779F6">
      <w:pPr>
        <w:ind w:left="360"/>
        <w:rPr>
          <w:rtl/>
        </w:rPr>
      </w:pPr>
      <w:r w:rsidRPr="00243673">
        <w:rPr>
          <w:b/>
          <w:bCs/>
          <w:rtl/>
        </w:rPr>
        <w:t>وفي ما يلي نستعرض بنود ومكونات ميزانية البنك المركزي</w:t>
      </w:r>
    </w:p>
    <w:p w:rsidR="0033277F" w:rsidRPr="00243673" w:rsidRDefault="00BE786B" w:rsidP="005779F6">
      <w:pPr>
        <w:ind w:left="360"/>
        <w:rPr>
          <w:sz w:val="32"/>
          <w:szCs w:val="32"/>
          <w:rtl/>
        </w:rPr>
      </w:pPr>
      <w:r w:rsidRPr="00243673">
        <w:rPr>
          <w:rFonts w:hint="cs"/>
          <w:b/>
          <w:bCs/>
          <w:sz w:val="32"/>
          <w:szCs w:val="32"/>
          <w:highlight w:val="cyan"/>
          <w:rtl/>
        </w:rPr>
        <w:t>1-</w:t>
      </w:r>
      <w:r w:rsidR="00243673" w:rsidRPr="00243673">
        <w:rPr>
          <w:b/>
          <w:bCs/>
          <w:sz w:val="32"/>
          <w:szCs w:val="32"/>
          <w:rtl/>
        </w:rPr>
        <w:t>الموارد (الخصوم/المطلوبات)</w:t>
      </w:r>
    </w:p>
    <w:p w:rsidR="005779F6" w:rsidRPr="00243673" w:rsidRDefault="005779F6" w:rsidP="005779F6">
      <w:pPr>
        <w:ind w:left="360"/>
        <w:rPr>
          <w:u w:val="single"/>
        </w:rPr>
      </w:pPr>
      <w:r w:rsidRPr="00243673">
        <w:rPr>
          <w:b/>
          <w:bCs/>
          <w:u w:val="single"/>
          <w:rtl/>
        </w:rPr>
        <w:t>(أ) الكتلة النقدية</w:t>
      </w:r>
    </w:p>
    <w:p w:rsidR="005779F6" w:rsidRPr="00243673" w:rsidRDefault="005779F6" w:rsidP="005779F6">
      <w:pPr>
        <w:ind w:left="360"/>
      </w:pPr>
      <w:r w:rsidRPr="00243673">
        <w:rPr>
          <w:b/>
          <w:bCs/>
          <w:rtl/>
        </w:rPr>
        <w:t>تتكون الكتلة النقدية أو ما يسمي بالقاعدة النقدية من مصدرين:</w:t>
      </w:r>
    </w:p>
    <w:p w:rsidR="005779F6" w:rsidRPr="00243673" w:rsidRDefault="005779F6" w:rsidP="005779F6">
      <w:pPr>
        <w:ind w:left="360"/>
        <w:rPr>
          <w:rtl/>
        </w:rPr>
      </w:pPr>
      <w:r w:rsidRPr="00243673">
        <w:rPr>
          <w:b/>
          <w:bCs/>
          <w:rtl/>
        </w:rPr>
        <w:t>أولهما: العملات في التداول (المعدنية والورقية) خارج الجهاز المصرفي والتى تتحدد بحجم السيولة التي يتم الاحتفاظ بها لغرض المبادلات.</w:t>
      </w:r>
    </w:p>
    <w:p w:rsidR="005779F6" w:rsidRPr="00243673" w:rsidRDefault="005779F6" w:rsidP="005779F6">
      <w:pPr>
        <w:ind w:left="360"/>
        <w:rPr>
          <w:rtl/>
        </w:rPr>
      </w:pPr>
      <w:r w:rsidRPr="00243673">
        <w:rPr>
          <w:b/>
          <w:bCs/>
          <w:rtl/>
        </w:rPr>
        <w:t>ثانيهما: احتياطيات البنوك والمؤسسات المالية الاخري لدى البنك المركزي والتي يتحدد حجمها بنسبة الاحتياطي القانوني التي يفرضها البنك المركزي على هذه البنوك والمؤسسات</w:t>
      </w:r>
    </w:p>
    <w:p w:rsidR="005779F6" w:rsidRPr="00243673" w:rsidRDefault="005779F6" w:rsidP="005779F6">
      <w:pPr>
        <w:ind w:left="360"/>
        <w:rPr>
          <w:u w:val="single"/>
        </w:rPr>
      </w:pPr>
      <w:r w:rsidRPr="00243673">
        <w:rPr>
          <w:b/>
          <w:bCs/>
          <w:u w:val="single"/>
          <w:rtl/>
        </w:rPr>
        <w:t>(ب) الودائع</w:t>
      </w:r>
    </w:p>
    <w:p w:rsidR="005779F6" w:rsidRPr="00243673" w:rsidRDefault="005779F6" w:rsidP="005779F6">
      <w:pPr>
        <w:ind w:left="360"/>
        <w:rPr>
          <w:b/>
          <w:bCs/>
          <w:rtl/>
        </w:rPr>
      </w:pPr>
      <w:r w:rsidRPr="00243673">
        <w:rPr>
          <w:b/>
          <w:bCs/>
          <w:rtl/>
        </w:rPr>
        <w:t xml:space="preserve">تعتبر الودائع بالبنك المركزي في حكم الودائع الجارية (لا يدفع البنك المركزي في مقابلها سعر فائدة للجهات المودعة). وتنقسم هذه الودائع من نوعين: </w:t>
      </w:r>
    </w:p>
    <w:p w:rsidR="005779F6" w:rsidRPr="00243673" w:rsidRDefault="005779F6" w:rsidP="005779F6">
      <w:pPr>
        <w:ind w:left="360"/>
      </w:pPr>
      <w:r w:rsidRPr="00243673">
        <w:rPr>
          <w:b/>
          <w:bCs/>
          <w:rtl/>
        </w:rPr>
        <w:t>أولهما: الودائع بالعملة المحلية، وتشمل:</w:t>
      </w:r>
    </w:p>
    <w:p w:rsidR="005779F6" w:rsidRPr="00243673" w:rsidRDefault="005779F6" w:rsidP="005779F6">
      <w:pPr>
        <w:ind w:left="360"/>
        <w:rPr>
          <w:rtl/>
        </w:rPr>
      </w:pPr>
      <w:r w:rsidRPr="00243673">
        <w:rPr>
          <w:b/>
          <w:bCs/>
          <w:rtl/>
        </w:rPr>
        <w:t>- الودائع الحكومية (ودائع وزراة المالية والمؤسسات الحكومية)، والتي تحتفظ بها الدولة لدى البنك المركزي باعتباره المستشار المالي للحكومة</w:t>
      </w:r>
    </w:p>
    <w:p w:rsidR="005779F6" w:rsidRPr="00243673" w:rsidRDefault="005779F6" w:rsidP="005779F6">
      <w:pPr>
        <w:ind w:left="360"/>
      </w:pPr>
      <w:r w:rsidRPr="00243673">
        <w:rPr>
          <w:b/>
          <w:bCs/>
          <w:rtl/>
        </w:rPr>
        <w:t>- ودائع البنوك (التجارية والمتخصصة وخلافها).</w:t>
      </w:r>
    </w:p>
    <w:p w:rsidR="005779F6" w:rsidRPr="00243673" w:rsidRDefault="005779F6" w:rsidP="005779F6">
      <w:pPr>
        <w:ind w:left="360"/>
      </w:pPr>
      <w:r w:rsidRPr="00243673">
        <w:rPr>
          <w:b/>
          <w:bCs/>
          <w:rtl/>
        </w:rPr>
        <w:t>- ودائع المؤسسات المالية الأخري بخلاف البنوك (المؤسسات المالية غير المصرفية).</w:t>
      </w:r>
    </w:p>
    <w:p w:rsidR="005779F6" w:rsidRPr="00243673" w:rsidRDefault="005779F6" w:rsidP="005779F6">
      <w:pPr>
        <w:ind w:left="360"/>
        <w:rPr>
          <w:rtl/>
        </w:rPr>
      </w:pPr>
      <w:r w:rsidRPr="00243673">
        <w:rPr>
          <w:b/>
          <w:bCs/>
          <w:rtl/>
        </w:rPr>
        <w:t>ثانيهما: الودائع بالعملة العملات الأجنبية وهي تخصص عموما لمقابلة التزامات البنك المركزي تجاه العالم الخارجي</w:t>
      </w:r>
    </w:p>
    <w:p w:rsidR="005779F6" w:rsidRPr="00243673" w:rsidRDefault="005779F6" w:rsidP="005779F6">
      <w:pPr>
        <w:ind w:left="360"/>
        <w:rPr>
          <w:b/>
          <w:bCs/>
          <w:u w:val="single"/>
          <w:rtl/>
        </w:rPr>
      </w:pPr>
      <w:r w:rsidRPr="00243673">
        <w:rPr>
          <w:b/>
          <w:bCs/>
          <w:u w:val="single"/>
          <w:rtl/>
        </w:rPr>
        <w:t>(ج) خصوم/مطلوبات أخر</w:t>
      </w:r>
      <w:r w:rsidRPr="00243673">
        <w:rPr>
          <w:rFonts w:hint="cs"/>
          <w:b/>
          <w:bCs/>
          <w:u w:val="single"/>
          <w:rtl/>
        </w:rPr>
        <w:t>ئ</w:t>
      </w:r>
    </w:p>
    <w:p w:rsidR="005779F6" w:rsidRPr="00243673" w:rsidRDefault="005779F6" w:rsidP="005779F6">
      <w:pPr>
        <w:ind w:left="360"/>
      </w:pPr>
      <w:r w:rsidRPr="00243673">
        <w:rPr>
          <w:b/>
          <w:bCs/>
          <w:rtl/>
        </w:rPr>
        <w:t>تشمل مخصصات الالتزامات الأخرى على البنك المركزي، مثل المخصصات النقدية لعمليات المقاصة.</w:t>
      </w:r>
    </w:p>
    <w:p w:rsidR="00BE786B" w:rsidRPr="00243673" w:rsidRDefault="00BE786B" w:rsidP="00BE786B">
      <w:pPr>
        <w:ind w:left="360"/>
        <w:rPr>
          <w:u w:val="single"/>
        </w:rPr>
      </w:pPr>
      <w:r w:rsidRPr="00243673">
        <w:rPr>
          <w:b/>
          <w:bCs/>
          <w:u w:val="single"/>
          <w:rtl/>
        </w:rPr>
        <w:t xml:space="preserve">(د) حساب رأس المال </w:t>
      </w:r>
    </w:p>
    <w:p w:rsidR="00BE786B" w:rsidRPr="00243673" w:rsidRDefault="00BE786B" w:rsidP="00BE786B">
      <w:pPr>
        <w:ind w:left="360"/>
      </w:pPr>
      <w:r w:rsidRPr="00243673">
        <w:rPr>
          <w:b/>
          <w:bCs/>
          <w:rtl/>
        </w:rPr>
        <w:t>يمثل الموارد الذاتية للبنك المركزي ممثلة في رأس المال المدفوع ومخصص الاحتياطيات غير الموزعة.</w:t>
      </w:r>
    </w:p>
    <w:p w:rsidR="0033277F" w:rsidRPr="00243673" w:rsidRDefault="00243673" w:rsidP="00BE786B">
      <w:pPr>
        <w:ind w:left="360"/>
        <w:rPr>
          <w:sz w:val="32"/>
          <w:szCs w:val="32"/>
          <w:rtl/>
        </w:rPr>
      </w:pPr>
      <w:r w:rsidRPr="00243673">
        <w:rPr>
          <w:rFonts w:hint="cs"/>
          <w:b/>
          <w:bCs/>
          <w:sz w:val="32"/>
          <w:szCs w:val="32"/>
          <w:highlight w:val="cyan"/>
          <w:rtl/>
        </w:rPr>
        <w:t xml:space="preserve">2- </w:t>
      </w:r>
      <w:r w:rsidRPr="00243673">
        <w:rPr>
          <w:b/>
          <w:bCs/>
          <w:sz w:val="32"/>
          <w:szCs w:val="32"/>
          <w:rtl/>
        </w:rPr>
        <w:t>الاستخدامات (الأصول/الموجودات)</w:t>
      </w:r>
    </w:p>
    <w:p w:rsidR="00BE786B" w:rsidRPr="00243673" w:rsidRDefault="00BE786B" w:rsidP="00BE786B">
      <w:pPr>
        <w:ind w:left="360"/>
      </w:pPr>
      <w:r w:rsidRPr="00243673">
        <w:rPr>
          <w:b/>
          <w:bCs/>
          <w:rtl/>
        </w:rPr>
        <w:t>يعكس هذا الجانب من ميزانية البنك المركزي الكيفية التي يوظف بها البنك المركزي الموارد المتجمعة لدية. وتشمل هذه الاستخدامات الآتي:</w:t>
      </w:r>
    </w:p>
    <w:p w:rsidR="00BE786B" w:rsidRPr="00243673" w:rsidRDefault="00BE786B" w:rsidP="00BE786B">
      <w:pPr>
        <w:ind w:left="360"/>
        <w:rPr>
          <w:u w:val="single"/>
        </w:rPr>
      </w:pPr>
      <w:r w:rsidRPr="00243673">
        <w:rPr>
          <w:b/>
          <w:bCs/>
          <w:u w:val="single"/>
          <w:rtl/>
        </w:rPr>
        <w:lastRenderedPageBreak/>
        <w:t xml:space="preserve">(أ) الأوراق المالية </w:t>
      </w:r>
    </w:p>
    <w:p w:rsidR="00BE786B" w:rsidRPr="00243673" w:rsidRDefault="00BE786B" w:rsidP="00BE786B">
      <w:pPr>
        <w:ind w:left="360"/>
      </w:pPr>
      <w:r w:rsidRPr="00243673">
        <w:rPr>
          <w:b/>
          <w:bCs/>
          <w:rtl/>
        </w:rPr>
        <w:t xml:space="preserve">تشمل أنواع الأوراق المالية التي تستخدم في عمليات إدارة سياسة السوق المفتوحة، مثل السندات الحكومية وأذون الخزانة وخلافها. </w:t>
      </w:r>
    </w:p>
    <w:p w:rsidR="00BE786B" w:rsidRPr="00243673" w:rsidRDefault="00BE786B" w:rsidP="00BE786B">
      <w:pPr>
        <w:ind w:left="360"/>
        <w:rPr>
          <w:u w:val="single"/>
        </w:rPr>
      </w:pPr>
      <w:r w:rsidRPr="00243673">
        <w:rPr>
          <w:b/>
          <w:bCs/>
          <w:u w:val="single"/>
          <w:rtl/>
        </w:rPr>
        <w:t>(ب) القروض أو الحقوق على الآخرين</w:t>
      </w:r>
    </w:p>
    <w:p w:rsidR="00BE786B" w:rsidRPr="00243673" w:rsidRDefault="00BE786B" w:rsidP="00BE786B">
      <w:pPr>
        <w:ind w:left="360"/>
      </w:pPr>
      <w:r w:rsidRPr="00243673">
        <w:rPr>
          <w:b/>
          <w:bCs/>
          <w:rtl/>
        </w:rPr>
        <w:t>تشمل القروض التي يتم منحها من قبل البنك المركزي للجهات التالية:</w:t>
      </w:r>
    </w:p>
    <w:p w:rsidR="00BE786B" w:rsidRPr="00243673" w:rsidRDefault="00BE786B" w:rsidP="00BE786B">
      <w:pPr>
        <w:ind w:left="360"/>
      </w:pPr>
      <w:r w:rsidRPr="00243673">
        <w:rPr>
          <w:b/>
          <w:bCs/>
          <w:rtl/>
        </w:rPr>
        <w:t>- القروض المقدمة للحكومة لتمويل عجز الموازنة.</w:t>
      </w:r>
    </w:p>
    <w:p w:rsidR="00BE786B" w:rsidRPr="00243673" w:rsidRDefault="00BE786B" w:rsidP="00BE786B">
      <w:pPr>
        <w:ind w:left="360"/>
      </w:pPr>
      <w:r w:rsidRPr="00243673">
        <w:rPr>
          <w:b/>
          <w:bCs/>
          <w:rtl/>
        </w:rPr>
        <w:t>- القروض التي يقدمها البنك المركزي للبنوك التجارية والبنوك المتخصصة.</w:t>
      </w:r>
    </w:p>
    <w:p w:rsidR="00BE786B" w:rsidRPr="00243673" w:rsidRDefault="00BE786B" w:rsidP="00BE786B">
      <w:pPr>
        <w:ind w:left="360"/>
        <w:rPr>
          <w:u w:val="single"/>
        </w:rPr>
      </w:pPr>
      <w:r w:rsidRPr="00243673">
        <w:rPr>
          <w:b/>
          <w:bCs/>
          <w:u w:val="single"/>
          <w:rtl/>
        </w:rPr>
        <w:t>(ج) الأصول/الموجودات الأجنبية</w:t>
      </w:r>
    </w:p>
    <w:p w:rsidR="00BE786B" w:rsidRPr="00243673" w:rsidRDefault="00BE786B" w:rsidP="00BE786B">
      <w:pPr>
        <w:ind w:left="360"/>
      </w:pPr>
      <w:r w:rsidRPr="00243673">
        <w:rPr>
          <w:b/>
          <w:bCs/>
          <w:rtl/>
        </w:rPr>
        <w:t>تشمل هذه على الذهب والعملات الأجنبية والودائع لدى البنوك الأجنبية بالاضافة إلي حقوق السحب الخاصة واحتياطيات البنك لدى صندوق النقد الدولي والاستثمارات الأجنبية المباشرة.</w:t>
      </w:r>
    </w:p>
    <w:p w:rsidR="00BE786B" w:rsidRPr="00243673" w:rsidRDefault="00BE786B" w:rsidP="00BE786B">
      <w:pPr>
        <w:ind w:left="360"/>
        <w:rPr>
          <w:u w:val="single"/>
        </w:rPr>
      </w:pPr>
      <w:r w:rsidRPr="00243673">
        <w:rPr>
          <w:b/>
          <w:bCs/>
          <w:u w:val="single"/>
          <w:rtl/>
        </w:rPr>
        <w:t>(د) الأصول/الموجودات الأخري</w:t>
      </w:r>
    </w:p>
    <w:p w:rsidR="00BE786B" w:rsidRPr="00243673" w:rsidRDefault="00BE786B" w:rsidP="00BE786B">
      <w:pPr>
        <w:ind w:left="360"/>
      </w:pPr>
      <w:r w:rsidRPr="00243673">
        <w:rPr>
          <w:b/>
          <w:bCs/>
          <w:rtl/>
        </w:rPr>
        <w:t>تشمل الأصول المادية كالمباني والأجهزة والمعدات وغيرها التي يمتلكها البنك المركزي.</w:t>
      </w:r>
    </w:p>
    <w:p w:rsidR="00BE786B" w:rsidRPr="00243673" w:rsidRDefault="00BE786B" w:rsidP="00BE786B">
      <w:pPr>
        <w:ind w:left="360"/>
      </w:pPr>
    </w:p>
    <w:p w:rsidR="005779F6" w:rsidRPr="00243673" w:rsidRDefault="005779F6" w:rsidP="005779F6">
      <w:pPr>
        <w:ind w:left="360"/>
      </w:pPr>
    </w:p>
    <w:p w:rsidR="005779F6" w:rsidRPr="00243673" w:rsidRDefault="005779F6" w:rsidP="005779F6">
      <w:pPr>
        <w:ind w:left="360"/>
      </w:pPr>
    </w:p>
    <w:p w:rsidR="005779F6" w:rsidRPr="00243673" w:rsidRDefault="005779F6" w:rsidP="005779F6">
      <w:pPr>
        <w:ind w:left="360"/>
      </w:pPr>
    </w:p>
    <w:p w:rsidR="005779F6" w:rsidRPr="00243673" w:rsidRDefault="005779F6" w:rsidP="005779F6">
      <w:pPr>
        <w:ind w:left="360"/>
        <w:rPr>
          <w:rtl/>
        </w:rPr>
      </w:pPr>
    </w:p>
    <w:p w:rsidR="005779F6" w:rsidRPr="00243673" w:rsidRDefault="005779F6" w:rsidP="005779F6"/>
    <w:p w:rsidR="00EA4B45" w:rsidRPr="00243673" w:rsidRDefault="00EA4B45" w:rsidP="00EA4B45"/>
    <w:p w:rsidR="00EA4B45" w:rsidRPr="00243673" w:rsidRDefault="00EA4B45" w:rsidP="00EA4B45">
      <w:pPr>
        <w:rPr>
          <w:rtl/>
        </w:rPr>
      </w:pPr>
    </w:p>
    <w:p w:rsidR="00EA4B45" w:rsidRPr="00243673" w:rsidRDefault="00EA4B45" w:rsidP="00EA4B45"/>
    <w:sectPr w:rsidR="00EA4B45" w:rsidRPr="00243673" w:rsidSect="000447A3">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48CB" w:rsidRDefault="00D948CB" w:rsidP="000447A3">
      <w:pPr>
        <w:spacing w:after="0" w:line="240" w:lineRule="auto"/>
      </w:pPr>
      <w:r>
        <w:separator/>
      </w:r>
    </w:p>
  </w:endnote>
  <w:endnote w:type="continuationSeparator" w:id="1">
    <w:p w:rsidR="00D948CB" w:rsidRDefault="00D948CB" w:rsidP="000447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7A3" w:rsidRDefault="000447A3" w:rsidP="000447A3">
    <w:pPr>
      <w:pStyle w:val="a6"/>
      <w:pBdr>
        <w:top w:val="thinThickSmallGap" w:sz="24" w:space="1" w:color="622423" w:themeColor="accent2" w:themeShade="7F"/>
      </w:pBdr>
      <w:rPr>
        <w:rFonts w:asciiTheme="majorHAnsi" w:hAnsiTheme="majorHAnsi"/>
      </w:rPr>
    </w:pPr>
    <w:r>
      <w:rPr>
        <w:rFonts w:asciiTheme="majorHAnsi" w:hAnsiTheme="majorHAnsi" w:hint="cs"/>
        <w:rtl/>
      </w:rPr>
      <w:t>نقود وبنوك</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0447A3">
        <w:rPr>
          <w:rFonts w:asciiTheme="majorHAnsi" w:hAnsiTheme="majorHAnsi" w:cs="Cambria"/>
          <w:noProof/>
          <w:rtl/>
          <w:lang w:val="ar-SA"/>
        </w:rPr>
        <w:t>7</w:t>
      </w:r>
    </w:fldSimple>
  </w:p>
  <w:p w:rsidR="000447A3" w:rsidRDefault="000447A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48CB" w:rsidRDefault="00D948CB" w:rsidP="000447A3">
      <w:pPr>
        <w:spacing w:after="0" w:line="240" w:lineRule="auto"/>
      </w:pPr>
      <w:r>
        <w:separator/>
      </w:r>
    </w:p>
  </w:footnote>
  <w:footnote w:type="continuationSeparator" w:id="1">
    <w:p w:rsidR="00D948CB" w:rsidRDefault="00D948CB" w:rsidP="000447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3D06B4"/>
    <w:multiLevelType w:val="hybridMultilevel"/>
    <w:tmpl w:val="920C47DA"/>
    <w:lvl w:ilvl="0" w:tplc="0A408ACE">
      <w:start w:val="1"/>
      <w:numFmt w:val="bullet"/>
      <w:lvlText w:val=""/>
      <w:lvlJc w:val="left"/>
      <w:pPr>
        <w:tabs>
          <w:tab w:val="num" w:pos="720"/>
        </w:tabs>
        <w:ind w:left="720" w:hanging="360"/>
      </w:pPr>
      <w:rPr>
        <w:rFonts w:ascii="Wingdings" w:hAnsi="Wingdings" w:hint="default"/>
      </w:rPr>
    </w:lvl>
    <w:lvl w:ilvl="1" w:tplc="911EB370" w:tentative="1">
      <w:start w:val="1"/>
      <w:numFmt w:val="bullet"/>
      <w:lvlText w:val=""/>
      <w:lvlJc w:val="left"/>
      <w:pPr>
        <w:tabs>
          <w:tab w:val="num" w:pos="1440"/>
        </w:tabs>
        <w:ind w:left="1440" w:hanging="360"/>
      </w:pPr>
      <w:rPr>
        <w:rFonts w:ascii="Wingdings" w:hAnsi="Wingdings" w:hint="default"/>
      </w:rPr>
    </w:lvl>
    <w:lvl w:ilvl="2" w:tplc="6EA64DE8" w:tentative="1">
      <w:start w:val="1"/>
      <w:numFmt w:val="bullet"/>
      <w:lvlText w:val=""/>
      <w:lvlJc w:val="left"/>
      <w:pPr>
        <w:tabs>
          <w:tab w:val="num" w:pos="2160"/>
        </w:tabs>
        <w:ind w:left="2160" w:hanging="360"/>
      </w:pPr>
      <w:rPr>
        <w:rFonts w:ascii="Wingdings" w:hAnsi="Wingdings" w:hint="default"/>
      </w:rPr>
    </w:lvl>
    <w:lvl w:ilvl="3" w:tplc="0CB84568" w:tentative="1">
      <w:start w:val="1"/>
      <w:numFmt w:val="bullet"/>
      <w:lvlText w:val=""/>
      <w:lvlJc w:val="left"/>
      <w:pPr>
        <w:tabs>
          <w:tab w:val="num" w:pos="2880"/>
        </w:tabs>
        <w:ind w:left="2880" w:hanging="360"/>
      </w:pPr>
      <w:rPr>
        <w:rFonts w:ascii="Wingdings" w:hAnsi="Wingdings" w:hint="default"/>
      </w:rPr>
    </w:lvl>
    <w:lvl w:ilvl="4" w:tplc="14DEF5D0" w:tentative="1">
      <w:start w:val="1"/>
      <w:numFmt w:val="bullet"/>
      <w:lvlText w:val=""/>
      <w:lvlJc w:val="left"/>
      <w:pPr>
        <w:tabs>
          <w:tab w:val="num" w:pos="3600"/>
        </w:tabs>
        <w:ind w:left="3600" w:hanging="360"/>
      </w:pPr>
      <w:rPr>
        <w:rFonts w:ascii="Wingdings" w:hAnsi="Wingdings" w:hint="default"/>
      </w:rPr>
    </w:lvl>
    <w:lvl w:ilvl="5" w:tplc="F3C8CE9E" w:tentative="1">
      <w:start w:val="1"/>
      <w:numFmt w:val="bullet"/>
      <w:lvlText w:val=""/>
      <w:lvlJc w:val="left"/>
      <w:pPr>
        <w:tabs>
          <w:tab w:val="num" w:pos="4320"/>
        </w:tabs>
        <w:ind w:left="4320" w:hanging="360"/>
      </w:pPr>
      <w:rPr>
        <w:rFonts w:ascii="Wingdings" w:hAnsi="Wingdings" w:hint="default"/>
      </w:rPr>
    </w:lvl>
    <w:lvl w:ilvl="6" w:tplc="064E476C" w:tentative="1">
      <w:start w:val="1"/>
      <w:numFmt w:val="bullet"/>
      <w:lvlText w:val=""/>
      <w:lvlJc w:val="left"/>
      <w:pPr>
        <w:tabs>
          <w:tab w:val="num" w:pos="5040"/>
        </w:tabs>
        <w:ind w:left="5040" w:hanging="360"/>
      </w:pPr>
      <w:rPr>
        <w:rFonts w:ascii="Wingdings" w:hAnsi="Wingdings" w:hint="default"/>
      </w:rPr>
    </w:lvl>
    <w:lvl w:ilvl="7" w:tplc="79AC1762" w:tentative="1">
      <w:start w:val="1"/>
      <w:numFmt w:val="bullet"/>
      <w:lvlText w:val=""/>
      <w:lvlJc w:val="left"/>
      <w:pPr>
        <w:tabs>
          <w:tab w:val="num" w:pos="5760"/>
        </w:tabs>
        <w:ind w:left="5760" w:hanging="360"/>
      </w:pPr>
      <w:rPr>
        <w:rFonts w:ascii="Wingdings" w:hAnsi="Wingdings" w:hint="default"/>
      </w:rPr>
    </w:lvl>
    <w:lvl w:ilvl="8" w:tplc="62061604" w:tentative="1">
      <w:start w:val="1"/>
      <w:numFmt w:val="bullet"/>
      <w:lvlText w:val=""/>
      <w:lvlJc w:val="left"/>
      <w:pPr>
        <w:tabs>
          <w:tab w:val="num" w:pos="6480"/>
        </w:tabs>
        <w:ind w:left="6480" w:hanging="360"/>
      </w:pPr>
      <w:rPr>
        <w:rFonts w:ascii="Wingdings" w:hAnsi="Wingdings" w:hint="default"/>
      </w:rPr>
    </w:lvl>
  </w:abstractNum>
  <w:abstractNum w:abstractNumId="1">
    <w:nsid w:val="2BD5332B"/>
    <w:multiLevelType w:val="hybridMultilevel"/>
    <w:tmpl w:val="8D58CE74"/>
    <w:lvl w:ilvl="0" w:tplc="F0CED5DC">
      <w:start w:val="1"/>
      <w:numFmt w:val="bullet"/>
      <w:lvlText w:val="-"/>
      <w:lvlJc w:val="left"/>
      <w:pPr>
        <w:tabs>
          <w:tab w:val="num" w:pos="720"/>
        </w:tabs>
        <w:ind w:left="720" w:hanging="360"/>
      </w:pPr>
      <w:rPr>
        <w:rFonts w:ascii="Times New Roman" w:hAnsi="Times New Roman" w:hint="default"/>
      </w:rPr>
    </w:lvl>
    <w:lvl w:ilvl="1" w:tplc="DD303816" w:tentative="1">
      <w:start w:val="1"/>
      <w:numFmt w:val="bullet"/>
      <w:lvlText w:val="-"/>
      <w:lvlJc w:val="left"/>
      <w:pPr>
        <w:tabs>
          <w:tab w:val="num" w:pos="1440"/>
        </w:tabs>
        <w:ind w:left="1440" w:hanging="360"/>
      </w:pPr>
      <w:rPr>
        <w:rFonts w:ascii="Times New Roman" w:hAnsi="Times New Roman" w:hint="default"/>
      </w:rPr>
    </w:lvl>
    <w:lvl w:ilvl="2" w:tplc="2556A92A" w:tentative="1">
      <w:start w:val="1"/>
      <w:numFmt w:val="bullet"/>
      <w:lvlText w:val="-"/>
      <w:lvlJc w:val="left"/>
      <w:pPr>
        <w:tabs>
          <w:tab w:val="num" w:pos="2160"/>
        </w:tabs>
        <w:ind w:left="2160" w:hanging="360"/>
      </w:pPr>
      <w:rPr>
        <w:rFonts w:ascii="Times New Roman" w:hAnsi="Times New Roman" w:hint="default"/>
      </w:rPr>
    </w:lvl>
    <w:lvl w:ilvl="3" w:tplc="283AA538" w:tentative="1">
      <w:start w:val="1"/>
      <w:numFmt w:val="bullet"/>
      <w:lvlText w:val="-"/>
      <w:lvlJc w:val="left"/>
      <w:pPr>
        <w:tabs>
          <w:tab w:val="num" w:pos="2880"/>
        </w:tabs>
        <w:ind w:left="2880" w:hanging="360"/>
      </w:pPr>
      <w:rPr>
        <w:rFonts w:ascii="Times New Roman" w:hAnsi="Times New Roman" w:hint="default"/>
      </w:rPr>
    </w:lvl>
    <w:lvl w:ilvl="4" w:tplc="EDAC7C94" w:tentative="1">
      <w:start w:val="1"/>
      <w:numFmt w:val="bullet"/>
      <w:lvlText w:val="-"/>
      <w:lvlJc w:val="left"/>
      <w:pPr>
        <w:tabs>
          <w:tab w:val="num" w:pos="3600"/>
        </w:tabs>
        <w:ind w:left="3600" w:hanging="360"/>
      </w:pPr>
      <w:rPr>
        <w:rFonts w:ascii="Times New Roman" w:hAnsi="Times New Roman" w:hint="default"/>
      </w:rPr>
    </w:lvl>
    <w:lvl w:ilvl="5" w:tplc="B198BA98" w:tentative="1">
      <w:start w:val="1"/>
      <w:numFmt w:val="bullet"/>
      <w:lvlText w:val="-"/>
      <w:lvlJc w:val="left"/>
      <w:pPr>
        <w:tabs>
          <w:tab w:val="num" w:pos="4320"/>
        </w:tabs>
        <w:ind w:left="4320" w:hanging="360"/>
      </w:pPr>
      <w:rPr>
        <w:rFonts w:ascii="Times New Roman" w:hAnsi="Times New Roman" w:hint="default"/>
      </w:rPr>
    </w:lvl>
    <w:lvl w:ilvl="6" w:tplc="F22AF080" w:tentative="1">
      <w:start w:val="1"/>
      <w:numFmt w:val="bullet"/>
      <w:lvlText w:val="-"/>
      <w:lvlJc w:val="left"/>
      <w:pPr>
        <w:tabs>
          <w:tab w:val="num" w:pos="5040"/>
        </w:tabs>
        <w:ind w:left="5040" w:hanging="360"/>
      </w:pPr>
      <w:rPr>
        <w:rFonts w:ascii="Times New Roman" w:hAnsi="Times New Roman" w:hint="default"/>
      </w:rPr>
    </w:lvl>
    <w:lvl w:ilvl="7" w:tplc="E7100AEA" w:tentative="1">
      <w:start w:val="1"/>
      <w:numFmt w:val="bullet"/>
      <w:lvlText w:val="-"/>
      <w:lvlJc w:val="left"/>
      <w:pPr>
        <w:tabs>
          <w:tab w:val="num" w:pos="5760"/>
        </w:tabs>
        <w:ind w:left="5760" w:hanging="360"/>
      </w:pPr>
      <w:rPr>
        <w:rFonts w:ascii="Times New Roman" w:hAnsi="Times New Roman" w:hint="default"/>
      </w:rPr>
    </w:lvl>
    <w:lvl w:ilvl="8" w:tplc="FD4ABBA4" w:tentative="1">
      <w:start w:val="1"/>
      <w:numFmt w:val="bullet"/>
      <w:lvlText w:val="-"/>
      <w:lvlJc w:val="left"/>
      <w:pPr>
        <w:tabs>
          <w:tab w:val="num" w:pos="6480"/>
        </w:tabs>
        <w:ind w:left="6480" w:hanging="360"/>
      </w:pPr>
      <w:rPr>
        <w:rFonts w:ascii="Times New Roman" w:hAnsi="Times New Roman" w:hint="default"/>
      </w:rPr>
    </w:lvl>
  </w:abstractNum>
  <w:abstractNum w:abstractNumId="2">
    <w:nsid w:val="3B4170CB"/>
    <w:multiLevelType w:val="hybridMultilevel"/>
    <w:tmpl w:val="F588E910"/>
    <w:lvl w:ilvl="0" w:tplc="BC406DCE">
      <w:start w:val="1"/>
      <w:numFmt w:val="bullet"/>
      <w:lvlText w:val=""/>
      <w:lvlJc w:val="left"/>
      <w:pPr>
        <w:tabs>
          <w:tab w:val="num" w:pos="720"/>
        </w:tabs>
        <w:ind w:left="720" w:hanging="360"/>
      </w:pPr>
      <w:rPr>
        <w:rFonts w:ascii="Wingdings" w:hAnsi="Wingdings" w:hint="default"/>
      </w:rPr>
    </w:lvl>
    <w:lvl w:ilvl="1" w:tplc="F4EA3858" w:tentative="1">
      <w:start w:val="1"/>
      <w:numFmt w:val="bullet"/>
      <w:lvlText w:val=""/>
      <w:lvlJc w:val="left"/>
      <w:pPr>
        <w:tabs>
          <w:tab w:val="num" w:pos="1440"/>
        </w:tabs>
        <w:ind w:left="1440" w:hanging="360"/>
      </w:pPr>
      <w:rPr>
        <w:rFonts w:ascii="Wingdings" w:hAnsi="Wingdings" w:hint="default"/>
      </w:rPr>
    </w:lvl>
    <w:lvl w:ilvl="2" w:tplc="FDF681A8" w:tentative="1">
      <w:start w:val="1"/>
      <w:numFmt w:val="bullet"/>
      <w:lvlText w:val=""/>
      <w:lvlJc w:val="left"/>
      <w:pPr>
        <w:tabs>
          <w:tab w:val="num" w:pos="2160"/>
        </w:tabs>
        <w:ind w:left="2160" w:hanging="360"/>
      </w:pPr>
      <w:rPr>
        <w:rFonts w:ascii="Wingdings" w:hAnsi="Wingdings" w:hint="default"/>
      </w:rPr>
    </w:lvl>
    <w:lvl w:ilvl="3" w:tplc="741236F0" w:tentative="1">
      <w:start w:val="1"/>
      <w:numFmt w:val="bullet"/>
      <w:lvlText w:val=""/>
      <w:lvlJc w:val="left"/>
      <w:pPr>
        <w:tabs>
          <w:tab w:val="num" w:pos="2880"/>
        </w:tabs>
        <w:ind w:left="2880" w:hanging="360"/>
      </w:pPr>
      <w:rPr>
        <w:rFonts w:ascii="Wingdings" w:hAnsi="Wingdings" w:hint="default"/>
      </w:rPr>
    </w:lvl>
    <w:lvl w:ilvl="4" w:tplc="DE0ABDBA" w:tentative="1">
      <w:start w:val="1"/>
      <w:numFmt w:val="bullet"/>
      <w:lvlText w:val=""/>
      <w:lvlJc w:val="left"/>
      <w:pPr>
        <w:tabs>
          <w:tab w:val="num" w:pos="3600"/>
        </w:tabs>
        <w:ind w:left="3600" w:hanging="360"/>
      </w:pPr>
      <w:rPr>
        <w:rFonts w:ascii="Wingdings" w:hAnsi="Wingdings" w:hint="default"/>
      </w:rPr>
    </w:lvl>
    <w:lvl w:ilvl="5" w:tplc="F9B66452" w:tentative="1">
      <w:start w:val="1"/>
      <w:numFmt w:val="bullet"/>
      <w:lvlText w:val=""/>
      <w:lvlJc w:val="left"/>
      <w:pPr>
        <w:tabs>
          <w:tab w:val="num" w:pos="4320"/>
        </w:tabs>
        <w:ind w:left="4320" w:hanging="360"/>
      </w:pPr>
      <w:rPr>
        <w:rFonts w:ascii="Wingdings" w:hAnsi="Wingdings" w:hint="default"/>
      </w:rPr>
    </w:lvl>
    <w:lvl w:ilvl="6" w:tplc="2E2E0040" w:tentative="1">
      <w:start w:val="1"/>
      <w:numFmt w:val="bullet"/>
      <w:lvlText w:val=""/>
      <w:lvlJc w:val="left"/>
      <w:pPr>
        <w:tabs>
          <w:tab w:val="num" w:pos="5040"/>
        </w:tabs>
        <w:ind w:left="5040" w:hanging="360"/>
      </w:pPr>
      <w:rPr>
        <w:rFonts w:ascii="Wingdings" w:hAnsi="Wingdings" w:hint="default"/>
      </w:rPr>
    </w:lvl>
    <w:lvl w:ilvl="7" w:tplc="DE0E7158" w:tentative="1">
      <w:start w:val="1"/>
      <w:numFmt w:val="bullet"/>
      <w:lvlText w:val=""/>
      <w:lvlJc w:val="left"/>
      <w:pPr>
        <w:tabs>
          <w:tab w:val="num" w:pos="5760"/>
        </w:tabs>
        <w:ind w:left="5760" w:hanging="360"/>
      </w:pPr>
      <w:rPr>
        <w:rFonts w:ascii="Wingdings" w:hAnsi="Wingdings" w:hint="default"/>
      </w:rPr>
    </w:lvl>
    <w:lvl w:ilvl="8" w:tplc="DDD833D6" w:tentative="1">
      <w:start w:val="1"/>
      <w:numFmt w:val="bullet"/>
      <w:lvlText w:val=""/>
      <w:lvlJc w:val="left"/>
      <w:pPr>
        <w:tabs>
          <w:tab w:val="num" w:pos="6480"/>
        </w:tabs>
        <w:ind w:left="6480" w:hanging="360"/>
      </w:pPr>
      <w:rPr>
        <w:rFonts w:ascii="Wingdings" w:hAnsi="Wingdings" w:hint="default"/>
      </w:rPr>
    </w:lvl>
  </w:abstractNum>
  <w:abstractNum w:abstractNumId="3">
    <w:nsid w:val="4C5F2271"/>
    <w:multiLevelType w:val="hybridMultilevel"/>
    <w:tmpl w:val="074C733E"/>
    <w:lvl w:ilvl="0" w:tplc="8788D9C2">
      <w:start w:val="1"/>
      <w:numFmt w:val="bullet"/>
      <w:lvlText w:val=""/>
      <w:lvlJc w:val="left"/>
      <w:pPr>
        <w:tabs>
          <w:tab w:val="num" w:pos="720"/>
        </w:tabs>
        <w:ind w:left="720" w:hanging="360"/>
      </w:pPr>
      <w:rPr>
        <w:rFonts w:ascii="Wingdings" w:hAnsi="Wingdings" w:hint="default"/>
      </w:rPr>
    </w:lvl>
    <w:lvl w:ilvl="1" w:tplc="98927DB8" w:tentative="1">
      <w:start w:val="1"/>
      <w:numFmt w:val="bullet"/>
      <w:lvlText w:val=""/>
      <w:lvlJc w:val="left"/>
      <w:pPr>
        <w:tabs>
          <w:tab w:val="num" w:pos="1440"/>
        </w:tabs>
        <w:ind w:left="1440" w:hanging="360"/>
      </w:pPr>
      <w:rPr>
        <w:rFonts w:ascii="Wingdings" w:hAnsi="Wingdings" w:hint="default"/>
      </w:rPr>
    </w:lvl>
    <w:lvl w:ilvl="2" w:tplc="72DE460C" w:tentative="1">
      <w:start w:val="1"/>
      <w:numFmt w:val="bullet"/>
      <w:lvlText w:val=""/>
      <w:lvlJc w:val="left"/>
      <w:pPr>
        <w:tabs>
          <w:tab w:val="num" w:pos="2160"/>
        </w:tabs>
        <w:ind w:left="2160" w:hanging="360"/>
      </w:pPr>
      <w:rPr>
        <w:rFonts w:ascii="Wingdings" w:hAnsi="Wingdings" w:hint="default"/>
      </w:rPr>
    </w:lvl>
    <w:lvl w:ilvl="3" w:tplc="98F6B754" w:tentative="1">
      <w:start w:val="1"/>
      <w:numFmt w:val="bullet"/>
      <w:lvlText w:val=""/>
      <w:lvlJc w:val="left"/>
      <w:pPr>
        <w:tabs>
          <w:tab w:val="num" w:pos="2880"/>
        </w:tabs>
        <w:ind w:left="2880" w:hanging="360"/>
      </w:pPr>
      <w:rPr>
        <w:rFonts w:ascii="Wingdings" w:hAnsi="Wingdings" w:hint="default"/>
      </w:rPr>
    </w:lvl>
    <w:lvl w:ilvl="4" w:tplc="BAD287BA" w:tentative="1">
      <w:start w:val="1"/>
      <w:numFmt w:val="bullet"/>
      <w:lvlText w:val=""/>
      <w:lvlJc w:val="left"/>
      <w:pPr>
        <w:tabs>
          <w:tab w:val="num" w:pos="3600"/>
        </w:tabs>
        <w:ind w:left="3600" w:hanging="360"/>
      </w:pPr>
      <w:rPr>
        <w:rFonts w:ascii="Wingdings" w:hAnsi="Wingdings" w:hint="default"/>
      </w:rPr>
    </w:lvl>
    <w:lvl w:ilvl="5" w:tplc="7586367A" w:tentative="1">
      <w:start w:val="1"/>
      <w:numFmt w:val="bullet"/>
      <w:lvlText w:val=""/>
      <w:lvlJc w:val="left"/>
      <w:pPr>
        <w:tabs>
          <w:tab w:val="num" w:pos="4320"/>
        </w:tabs>
        <w:ind w:left="4320" w:hanging="360"/>
      </w:pPr>
      <w:rPr>
        <w:rFonts w:ascii="Wingdings" w:hAnsi="Wingdings" w:hint="default"/>
      </w:rPr>
    </w:lvl>
    <w:lvl w:ilvl="6" w:tplc="46CEE22A" w:tentative="1">
      <w:start w:val="1"/>
      <w:numFmt w:val="bullet"/>
      <w:lvlText w:val=""/>
      <w:lvlJc w:val="left"/>
      <w:pPr>
        <w:tabs>
          <w:tab w:val="num" w:pos="5040"/>
        </w:tabs>
        <w:ind w:left="5040" w:hanging="360"/>
      </w:pPr>
      <w:rPr>
        <w:rFonts w:ascii="Wingdings" w:hAnsi="Wingdings" w:hint="default"/>
      </w:rPr>
    </w:lvl>
    <w:lvl w:ilvl="7" w:tplc="ED84A592" w:tentative="1">
      <w:start w:val="1"/>
      <w:numFmt w:val="bullet"/>
      <w:lvlText w:val=""/>
      <w:lvlJc w:val="left"/>
      <w:pPr>
        <w:tabs>
          <w:tab w:val="num" w:pos="5760"/>
        </w:tabs>
        <w:ind w:left="5760" w:hanging="360"/>
      </w:pPr>
      <w:rPr>
        <w:rFonts w:ascii="Wingdings" w:hAnsi="Wingdings" w:hint="default"/>
      </w:rPr>
    </w:lvl>
    <w:lvl w:ilvl="8" w:tplc="3F00545C" w:tentative="1">
      <w:start w:val="1"/>
      <w:numFmt w:val="bullet"/>
      <w:lvlText w:val=""/>
      <w:lvlJc w:val="left"/>
      <w:pPr>
        <w:tabs>
          <w:tab w:val="num" w:pos="6480"/>
        </w:tabs>
        <w:ind w:left="6480" w:hanging="360"/>
      </w:pPr>
      <w:rPr>
        <w:rFonts w:ascii="Wingdings" w:hAnsi="Wingdings" w:hint="default"/>
      </w:rPr>
    </w:lvl>
  </w:abstractNum>
  <w:abstractNum w:abstractNumId="4">
    <w:nsid w:val="5CDE0256"/>
    <w:multiLevelType w:val="hybridMultilevel"/>
    <w:tmpl w:val="7AB87246"/>
    <w:lvl w:ilvl="0" w:tplc="6324DBE8">
      <w:start w:val="1"/>
      <w:numFmt w:val="bullet"/>
      <w:lvlText w:val=""/>
      <w:lvlJc w:val="left"/>
      <w:pPr>
        <w:tabs>
          <w:tab w:val="num" w:pos="720"/>
        </w:tabs>
        <w:ind w:left="720" w:hanging="360"/>
      </w:pPr>
      <w:rPr>
        <w:rFonts w:ascii="Wingdings" w:hAnsi="Wingdings" w:hint="default"/>
      </w:rPr>
    </w:lvl>
    <w:lvl w:ilvl="1" w:tplc="030E8F12" w:tentative="1">
      <w:start w:val="1"/>
      <w:numFmt w:val="bullet"/>
      <w:lvlText w:val=""/>
      <w:lvlJc w:val="left"/>
      <w:pPr>
        <w:tabs>
          <w:tab w:val="num" w:pos="1440"/>
        </w:tabs>
        <w:ind w:left="1440" w:hanging="360"/>
      </w:pPr>
      <w:rPr>
        <w:rFonts w:ascii="Wingdings" w:hAnsi="Wingdings" w:hint="default"/>
      </w:rPr>
    </w:lvl>
    <w:lvl w:ilvl="2" w:tplc="2B9C439C" w:tentative="1">
      <w:start w:val="1"/>
      <w:numFmt w:val="bullet"/>
      <w:lvlText w:val=""/>
      <w:lvlJc w:val="left"/>
      <w:pPr>
        <w:tabs>
          <w:tab w:val="num" w:pos="2160"/>
        </w:tabs>
        <w:ind w:left="2160" w:hanging="360"/>
      </w:pPr>
      <w:rPr>
        <w:rFonts w:ascii="Wingdings" w:hAnsi="Wingdings" w:hint="default"/>
      </w:rPr>
    </w:lvl>
    <w:lvl w:ilvl="3" w:tplc="488CA276" w:tentative="1">
      <w:start w:val="1"/>
      <w:numFmt w:val="bullet"/>
      <w:lvlText w:val=""/>
      <w:lvlJc w:val="left"/>
      <w:pPr>
        <w:tabs>
          <w:tab w:val="num" w:pos="2880"/>
        </w:tabs>
        <w:ind w:left="2880" w:hanging="360"/>
      </w:pPr>
      <w:rPr>
        <w:rFonts w:ascii="Wingdings" w:hAnsi="Wingdings" w:hint="default"/>
      </w:rPr>
    </w:lvl>
    <w:lvl w:ilvl="4" w:tplc="01B27EE2" w:tentative="1">
      <w:start w:val="1"/>
      <w:numFmt w:val="bullet"/>
      <w:lvlText w:val=""/>
      <w:lvlJc w:val="left"/>
      <w:pPr>
        <w:tabs>
          <w:tab w:val="num" w:pos="3600"/>
        </w:tabs>
        <w:ind w:left="3600" w:hanging="360"/>
      </w:pPr>
      <w:rPr>
        <w:rFonts w:ascii="Wingdings" w:hAnsi="Wingdings" w:hint="default"/>
      </w:rPr>
    </w:lvl>
    <w:lvl w:ilvl="5" w:tplc="4ABEAF0C" w:tentative="1">
      <w:start w:val="1"/>
      <w:numFmt w:val="bullet"/>
      <w:lvlText w:val=""/>
      <w:lvlJc w:val="left"/>
      <w:pPr>
        <w:tabs>
          <w:tab w:val="num" w:pos="4320"/>
        </w:tabs>
        <w:ind w:left="4320" w:hanging="360"/>
      </w:pPr>
      <w:rPr>
        <w:rFonts w:ascii="Wingdings" w:hAnsi="Wingdings" w:hint="default"/>
      </w:rPr>
    </w:lvl>
    <w:lvl w:ilvl="6" w:tplc="D0AE239E" w:tentative="1">
      <w:start w:val="1"/>
      <w:numFmt w:val="bullet"/>
      <w:lvlText w:val=""/>
      <w:lvlJc w:val="left"/>
      <w:pPr>
        <w:tabs>
          <w:tab w:val="num" w:pos="5040"/>
        </w:tabs>
        <w:ind w:left="5040" w:hanging="360"/>
      </w:pPr>
      <w:rPr>
        <w:rFonts w:ascii="Wingdings" w:hAnsi="Wingdings" w:hint="default"/>
      </w:rPr>
    </w:lvl>
    <w:lvl w:ilvl="7" w:tplc="D5B4F740" w:tentative="1">
      <w:start w:val="1"/>
      <w:numFmt w:val="bullet"/>
      <w:lvlText w:val=""/>
      <w:lvlJc w:val="left"/>
      <w:pPr>
        <w:tabs>
          <w:tab w:val="num" w:pos="5760"/>
        </w:tabs>
        <w:ind w:left="5760" w:hanging="360"/>
      </w:pPr>
      <w:rPr>
        <w:rFonts w:ascii="Wingdings" w:hAnsi="Wingdings" w:hint="default"/>
      </w:rPr>
    </w:lvl>
    <w:lvl w:ilvl="8" w:tplc="EEAA7608" w:tentative="1">
      <w:start w:val="1"/>
      <w:numFmt w:val="bullet"/>
      <w:lvlText w:val=""/>
      <w:lvlJc w:val="left"/>
      <w:pPr>
        <w:tabs>
          <w:tab w:val="num" w:pos="6480"/>
        </w:tabs>
        <w:ind w:left="6480" w:hanging="360"/>
      </w:pPr>
      <w:rPr>
        <w:rFonts w:ascii="Wingdings" w:hAnsi="Wingdings" w:hint="default"/>
      </w:rPr>
    </w:lvl>
  </w:abstractNum>
  <w:abstractNum w:abstractNumId="5">
    <w:nsid w:val="6A5467E4"/>
    <w:multiLevelType w:val="hybridMultilevel"/>
    <w:tmpl w:val="CA3E3392"/>
    <w:lvl w:ilvl="0" w:tplc="C116EED0">
      <w:start w:val="1"/>
      <w:numFmt w:val="bullet"/>
      <w:lvlText w:val=""/>
      <w:lvlJc w:val="left"/>
      <w:pPr>
        <w:tabs>
          <w:tab w:val="num" w:pos="360"/>
        </w:tabs>
        <w:ind w:left="360" w:hanging="360"/>
      </w:pPr>
      <w:rPr>
        <w:rFonts w:ascii="Wingdings" w:hAnsi="Wingdings" w:hint="default"/>
      </w:rPr>
    </w:lvl>
    <w:lvl w:ilvl="1" w:tplc="3CBC441C" w:tentative="1">
      <w:start w:val="1"/>
      <w:numFmt w:val="bullet"/>
      <w:lvlText w:val=""/>
      <w:lvlJc w:val="left"/>
      <w:pPr>
        <w:tabs>
          <w:tab w:val="num" w:pos="1080"/>
        </w:tabs>
        <w:ind w:left="1080" w:hanging="360"/>
      </w:pPr>
      <w:rPr>
        <w:rFonts w:ascii="Wingdings" w:hAnsi="Wingdings" w:hint="default"/>
      </w:rPr>
    </w:lvl>
    <w:lvl w:ilvl="2" w:tplc="465C9D7A" w:tentative="1">
      <w:start w:val="1"/>
      <w:numFmt w:val="bullet"/>
      <w:lvlText w:val=""/>
      <w:lvlJc w:val="left"/>
      <w:pPr>
        <w:tabs>
          <w:tab w:val="num" w:pos="1800"/>
        </w:tabs>
        <w:ind w:left="1800" w:hanging="360"/>
      </w:pPr>
      <w:rPr>
        <w:rFonts w:ascii="Wingdings" w:hAnsi="Wingdings" w:hint="default"/>
      </w:rPr>
    </w:lvl>
    <w:lvl w:ilvl="3" w:tplc="BED470E6" w:tentative="1">
      <w:start w:val="1"/>
      <w:numFmt w:val="bullet"/>
      <w:lvlText w:val=""/>
      <w:lvlJc w:val="left"/>
      <w:pPr>
        <w:tabs>
          <w:tab w:val="num" w:pos="2520"/>
        </w:tabs>
        <w:ind w:left="2520" w:hanging="360"/>
      </w:pPr>
      <w:rPr>
        <w:rFonts w:ascii="Wingdings" w:hAnsi="Wingdings" w:hint="default"/>
      </w:rPr>
    </w:lvl>
    <w:lvl w:ilvl="4" w:tplc="BAD28B44" w:tentative="1">
      <w:start w:val="1"/>
      <w:numFmt w:val="bullet"/>
      <w:lvlText w:val=""/>
      <w:lvlJc w:val="left"/>
      <w:pPr>
        <w:tabs>
          <w:tab w:val="num" w:pos="3240"/>
        </w:tabs>
        <w:ind w:left="3240" w:hanging="360"/>
      </w:pPr>
      <w:rPr>
        <w:rFonts w:ascii="Wingdings" w:hAnsi="Wingdings" w:hint="default"/>
      </w:rPr>
    </w:lvl>
    <w:lvl w:ilvl="5" w:tplc="37121156" w:tentative="1">
      <w:start w:val="1"/>
      <w:numFmt w:val="bullet"/>
      <w:lvlText w:val=""/>
      <w:lvlJc w:val="left"/>
      <w:pPr>
        <w:tabs>
          <w:tab w:val="num" w:pos="3960"/>
        </w:tabs>
        <w:ind w:left="3960" w:hanging="360"/>
      </w:pPr>
      <w:rPr>
        <w:rFonts w:ascii="Wingdings" w:hAnsi="Wingdings" w:hint="default"/>
      </w:rPr>
    </w:lvl>
    <w:lvl w:ilvl="6" w:tplc="525CEF90" w:tentative="1">
      <w:start w:val="1"/>
      <w:numFmt w:val="bullet"/>
      <w:lvlText w:val=""/>
      <w:lvlJc w:val="left"/>
      <w:pPr>
        <w:tabs>
          <w:tab w:val="num" w:pos="4680"/>
        </w:tabs>
        <w:ind w:left="4680" w:hanging="360"/>
      </w:pPr>
      <w:rPr>
        <w:rFonts w:ascii="Wingdings" w:hAnsi="Wingdings" w:hint="default"/>
      </w:rPr>
    </w:lvl>
    <w:lvl w:ilvl="7" w:tplc="013E16DA" w:tentative="1">
      <w:start w:val="1"/>
      <w:numFmt w:val="bullet"/>
      <w:lvlText w:val=""/>
      <w:lvlJc w:val="left"/>
      <w:pPr>
        <w:tabs>
          <w:tab w:val="num" w:pos="5400"/>
        </w:tabs>
        <w:ind w:left="5400" w:hanging="360"/>
      </w:pPr>
      <w:rPr>
        <w:rFonts w:ascii="Wingdings" w:hAnsi="Wingdings" w:hint="default"/>
      </w:rPr>
    </w:lvl>
    <w:lvl w:ilvl="8" w:tplc="00762DEE"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4"/>
  </w:num>
  <w:num w:numId="3">
    <w:abstractNumId w:val="0"/>
  </w:num>
  <w:num w:numId="4">
    <w:abstractNumId w:val="5"/>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42AF4"/>
    <w:rsid w:val="000447A3"/>
    <w:rsid w:val="001E1EB9"/>
    <w:rsid w:val="00243673"/>
    <w:rsid w:val="0033277F"/>
    <w:rsid w:val="005177C7"/>
    <w:rsid w:val="005779F6"/>
    <w:rsid w:val="00757176"/>
    <w:rsid w:val="00826017"/>
    <w:rsid w:val="00A63EE0"/>
    <w:rsid w:val="00BE786B"/>
    <w:rsid w:val="00D948CB"/>
    <w:rsid w:val="00EA4B45"/>
    <w:rsid w:val="00F42A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EB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4B4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447A3"/>
    <w:pPr>
      <w:ind w:left="720"/>
      <w:contextualSpacing/>
    </w:pPr>
  </w:style>
  <w:style w:type="paragraph" w:styleId="a5">
    <w:name w:val="header"/>
    <w:basedOn w:val="a"/>
    <w:link w:val="Char"/>
    <w:uiPriority w:val="99"/>
    <w:semiHidden/>
    <w:unhideWhenUsed/>
    <w:rsid w:val="000447A3"/>
    <w:pPr>
      <w:tabs>
        <w:tab w:val="center" w:pos="4153"/>
        <w:tab w:val="right" w:pos="8306"/>
      </w:tabs>
      <w:spacing w:after="0" w:line="240" w:lineRule="auto"/>
    </w:pPr>
  </w:style>
  <w:style w:type="character" w:customStyle="1" w:styleId="Char">
    <w:name w:val="رأس صفحة Char"/>
    <w:basedOn w:val="a0"/>
    <w:link w:val="a5"/>
    <w:uiPriority w:val="99"/>
    <w:semiHidden/>
    <w:rsid w:val="000447A3"/>
  </w:style>
  <w:style w:type="paragraph" w:styleId="a6">
    <w:name w:val="footer"/>
    <w:basedOn w:val="a"/>
    <w:link w:val="Char0"/>
    <w:uiPriority w:val="99"/>
    <w:unhideWhenUsed/>
    <w:rsid w:val="000447A3"/>
    <w:pPr>
      <w:tabs>
        <w:tab w:val="center" w:pos="4153"/>
        <w:tab w:val="right" w:pos="8306"/>
      </w:tabs>
      <w:spacing w:after="0" w:line="240" w:lineRule="auto"/>
    </w:pPr>
  </w:style>
  <w:style w:type="character" w:customStyle="1" w:styleId="Char0">
    <w:name w:val="تذييل صفحة Char"/>
    <w:basedOn w:val="a0"/>
    <w:link w:val="a6"/>
    <w:uiPriority w:val="99"/>
    <w:rsid w:val="000447A3"/>
  </w:style>
  <w:style w:type="paragraph" w:styleId="a7">
    <w:name w:val="Balloon Text"/>
    <w:basedOn w:val="a"/>
    <w:link w:val="Char1"/>
    <w:uiPriority w:val="99"/>
    <w:semiHidden/>
    <w:unhideWhenUsed/>
    <w:rsid w:val="000447A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0447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4280694">
      <w:bodyDiv w:val="1"/>
      <w:marLeft w:val="0"/>
      <w:marRight w:val="0"/>
      <w:marTop w:val="0"/>
      <w:marBottom w:val="0"/>
      <w:divBdr>
        <w:top w:val="none" w:sz="0" w:space="0" w:color="auto"/>
        <w:left w:val="none" w:sz="0" w:space="0" w:color="auto"/>
        <w:bottom w:val="none" w:sz="0" w:space="0" w:color="auto"/>
        <w:right w:val="none" w:sz="0" w:space="0" w:color="auto"/>
      </w:divBdr>
    </w:div>
    <w:div w:id="197162178">
      <w:bodyDiv w:val="1"/>
      <w:marLeft w:val="0"/>
      <w:marRight w:val="0"/>
      <w:marTop w:val="0"/>
      <w:marBottom w:val="0"/>
      <w:divBdr>
        <w:top w:val="none" w:sz="0" w:space="0" w:color="auto"/>
        <w:left w:val="none" w:sz="0" w:space="0" w:color="auto"/>
        <w:bottom w:val="none" w:sz="0" w:space="0" w:color="auto"/>
        <w:right w:val="none" w:sz="0" w:space="0" w:color="auto"/>
      </w:divBdr>
    </w:div>
    <w:div w:id="198058153">
      <w:bodyDiv w:val="1"/>
      <w:marLeft w:val="0"/>
      <w:marRight w:val="0"/>
      <w:marTop w:val="0"/>
      <w:marBottom w:val="0"/>
      <w:divBdr>
        <w:top w:val="none" w:sz="0" w:space="0" w:color="auto"/>
        <w:left w:val="none" w:sz="0" w:space="0" w:color="auto"/>
        <w:bottom w:val="none" w:sz="0" w:space="0" w:color="auto"/>
        <w:right w:val="none" w:sz="0" w:space="0" w:color="auto"/>
      </w:divBdr>
      <w:divsChild>
        <w:div w:id="1644239175">
          <w:marLeft w:val="0"/>
          <w:marRight w:val="432"/>
          <w:marTop w:val="0"/>
          <w:marBottom w:val="120"/>
          <w:divBdr>
            <w:top w:val="none" w:sz="0" w:space="0" w:color="auto"/>
            <w:left w:val="none" w:sz="0" w:space="0" w:color="auto"/>
            <w:bottom w:val="none" w:sz="0" w:space="0" w:color="auto"/>
            <w:right w:val="none" w:sz="0" w:space="0" w:color="auto"/>
          </w:divBdr>
        </w:div>
        <w:div w:id="1222717500">
          <w:marLeft w:val="0"/>
          <w:marRight w:val="432"/>
          <w:marTop w:val="0"/>
          <w:marBottom w:val="120"/>
          <w:divBdr>
            <w:top w:val="none" w:sz="0" w:space="0" w:color="auto"/>
            <w:left w:val="none" w:sz="0" w:space="0" w:color="auto"/>
            <w:bottom w:val="none" w:sz="0" w:space="0" w:color="auto"/>
            <w:right w:val="none" w:sz="0" w:space="0" w:color="auto"/>
          </w:divBdr>
        </w:div>
      </w:divsChild>
    </w:div>
    <w:div w:id="214777533">
      <w:bodyDiv w:val="1"/>
      <w:marLeft w:val="0"/>
      <w:marRight w:val="0"/>
      <w:marTop w:val="0"/>
      <w:marBottom w:val="0"/>
      <w:divBdr>
        <w:top w:val="none" w:sz="0" w:space="0" w:color="auto"/>
        <w:left w:val="none" w:sz="0" w:space="0" w:color="auto"/>
        <w:bottom w:val="none" w:sz="0" w:space="0" w:color="auto"/>
        <w:right w:val="none" w:sz="0" w:space="0" w:color="auto"/>
      </w:divBdr>
    </w:div>
    <w:div w:id="296254060">
      <w:bodyDiv w:val="1"/>
      <w:marLeft w:val="0"/>
      <w:marRight w:val="0"/>
      <w:marTop w:val="0"/>
      <w:marBottom w:val="0"/>
      <w:divBdr>
        <w:top w:val="none" w:sz="0" w:space="0" w:color="auto"/>
        <w:left w:val="none" w:sz="0" w:space="0" w:color="auto"/>
        <w:bottom w:val="none" w:sz="0" w:space="0" w:color="auto"/>
        <w:right w:val="none" w:sz="0" w:space="0" w:color="auto"/>
      </w:divBdr>
    </w:div>
    <w:div w:id="297688650">
      <w:bodyDiv w:val="1"/>
      <w:marLeft w:val="0"/>
      <w:marRight w:val="0"/>
      <w:marTop w:val="0"/>
      <w:marBottom w:val="0"/>
      <w:divBdr>
        <w:top w:val="none" w:sz="0" w:space="0" w:color="auto"/>
        <w:left w:val="none" w:sz="0" w:space="0" w:color="auto"/>
        <w:bottom w:val="none" w:sz="0" w:space="0" w:color="auto"/>
        <w:right w:val="none" w:sz="0" w:space="0" w:color="auto"/>
      </w:divBdr>
      <w:divsChild>
        <w:div w:id="227498071">
          <w:marLeft w:val="0"/>
          <w:marRight w:val="418"/>
          <w:marTop w:val="0"/>
          <w:marBottom w:val="60"/>
          <w:divBdr>
            <w:top w:val="none" w:sz="0" w:space="0" w:color="auto"/>
            <w:left w:val="none" w:sz="0" w:space="0" w:color="auto"/>
            <w:bottom w:val="none" w:sz="0" w:space="0" w:color="auto"/>
            <w:right w:val="none" w:sz="0" w:space="0" w:color="auto"/>
          </w:divBdr>
        </w:div>
      </w:divsChild>
    </w:div>
    <w:div w:id="372771400">
      <w:bodyDiv w:val="1"/>
      <w:marLeft w:val="0"/>
      <w:marRight w:val="0"/>
      <w:marTop w:val="0"/>
      <w:marBottom w:val="0"/>
      <w:divBdr>
        <w:top w:val="none" w:sz="0" w:space="0" w:color="auto"/>
        <w:left w:val="none" w:sz="0" w:space="0" w:color="auto"/>
        <w:bottom w:val="none" w:sz="0" w:space="0" w:color="auto"/>
        <w:right w:val="none" w:sz="0" w:space="0" w:color="auto"/>
      </w:divBdr>
    </w:div>
    <w:div w:id="476799873">
      <w:bodyDiv w:val="1"/>
      <w:marLeft w:val="0"/>
      <w:marRight w:val="0"/>
      <w:marTop w:val="0"/>
      <w:marBottom w:val="0"/>
      <w:divBdr>
        <w:top w:val="none" w:sz="0" w:space="0" w:color="auto"/>
        <w:left w:val="none" w:sz="0" w:space="0" w:color="auto"/>
        <w:bottom w:val="none" w:sz="0" w:space="0" w:color="auto"/>
        <w:right w:val="none" w:sz="0" w:space="0" w:color="auto"/>
      </w:divBdr>
    </w:div>
    <w:div w:id="483397358">
      <w:bodyDiv w:val="1"/>
      <w:marLeft w:val="0"/>
      <w:marRight w:val="0"/>
      <w:marTop w:val="0"/>
      <w:marBottom w:val="0"/>
      <w:divBdr>
        <w:top w:val="none" w:sz="0" w:space="0" w:color="auto"/>
        <w:left w:val="none" w:sz="0" w:space="0" w:color="auto"/>
        <w:bottom w:val="none" w:sz="0" w:space="0" w:color="auto"/>
        <w:right w:val="none" w:sz="0" w:space="0" w:color="auto"/>
      </w:divBdr>
      <w:divsChild>
        <w:div w:id="992104947">
          <w:marLeft w:val="0"/>
          <w:marRight w:val="576"/>
          <w:marTop w:val="0"/>
          <w:marBottom w:val="0"/>
          <w:divBdr>
            <w:top w:val="none" w:sz="0" w:space="0" w:color="auto"/>
            <w:left w:val="none" w:sz="0" w:space="0" w:color="auto"/>
            <w:bottom w:val="none" w:sz="0" w:space="0" w:color="auto"/>
            <w:right w:val="none" w:sz="0" w:space="0" w:color="auto"/>
          </w:divBdr>
        </w:div>
        <w:div w:id="1907569034">
          <w:marLeft w:val="0"/>
          <w:marRight w:val="418"/>
          <w:marTop w:val="0"/>
          <w:marBottom w:val="0"/>
          <w:divBdr>
            <w:top w:val="none" w:sz="0" w:space="0" w:color="auto"/>
            <w:left w:val="none" w:sz="0" w:space="0" w:color="auto"/>
            <w:bottom w:val="none" w:sz="0" w:space="0" w:color="auto"/>
            <w:right w:val="none" w:sz="0" w:space="0" w:color="auto"/>
          </w:divBdr>
        </w:div>
      </w:divsChild>
    </w:div>
    <w:div w:id="484902748">
      <w:bodyDiv w:val="1"/>
      <w:marLeft w:val="0"/>
      <w:marRight w:val="0"/>
      <w:marTop w:val="0"/>
      <w:marBottom w:val="0"/>
      <w:divBdr>
        <w:top w:val="none" w:sz="0" w:space="0" w:color="auto"/>
        <w:left w:val="none" w:sz="0" w:space="0" w:color="auto"/>
        <w:bottom w:val="none" w:sz="0" w:space="0" w:color="auto"/>
        <w:right w:val="none" w:sz="0" w:space="0" w:color="auto"/>
      </w:divBdr>
    </w:div>
    <w:div w:id="516965450">
      <w:bodyDiv w:val="1"/>
      <w:marLeft w:val="0"/>
      <w:marRight w:val="0"/>
      <w:marTop w:val="0"/>
      <w:marBottom w:val="0"/>
      <w:divBdr>
        <w:top w:val="none" w:sz="0" w:space="0" w:color="auto"/>
        <w:left w:val="none" w:sz="0" w:space="0" w:color="auto"/>
        <w:bottom w:val="none" w:sz="0" w:space="0" w:color="auto"/>
        <w:right w:val="none" w:sz="0" w:space="0" w:color="auto"/>
      </w:divBdr>
    </w:div>
    <w:div w:id="523441205">
      <w:bodyDiv w:val="1"/>
      <w:marLeft w:val="0"/>
      <w:marRight w:val="0"/>
      <w:marTop w:val="0"/>
      <w:marBottom w:val="0"/>
      <w:divBdr>
        <w:top w:val="none" w:sz="0" w:space="0" w:color="auto"/>
        <w:left w:val="none" w:sz="0" w:space="0" w:color="auto"/>
        <w:bottom w:val="none" w:sz="0" w:space="0" w:color="auto"/>
        <w:right w:val="none" w:sz="0" w:space="0" w:color="auto"/>
      </w:divBdr>
    </w:div>
    <w:div w:id="596449208">
      <w:bodyDiv w:val="1"/>
      <w:marLeft w:val="0"/>
      <w:marRight w:val="0"/>
      <w:marTop w:val="0"/>
      <w:marBottom w:val="0"/>
      <w:divBdr>
        <w:top w:val="none" w:sz="0" w:space="0" w:color="auto"/>
        <w:left w:val="none" w:sz="0" w:space="0" w:color="auto"/>
        <w:bottom w:val="none" w:sz="0" w:space="0" w:color="auto"/>
        <w:right w:val="none" w:sz="0" w:space="0" w:color="auto"/>
      </w:divBdr>
    </w:div>
    <w:div w:id="621304363">
      <w:bodyDiv w:val="1"/>
      <w:marLeft w:val="0"/>
      <w:marRight w:val="0"/>
      <w:marTop w:val="0"/>
      <w:marBottom w:val="0"/>
      <w:divBdr>
        <w:top w:val="none" w:sz="0" w:space="0" w:color="auto"/>
        <w:left w:val="none" w:sz="0" w:space="0" w:color="auto"/>
        <w:bottom w:val="none" w:sz="0" w:space="0" w:color="auto"/>
        <w:right w:val="none" w:sz="0" w:space="0" w:color="auto"/>
      </w:divBdr>
    </w:div>
    <w:div w:id="625356285">
      <w:bodyDiv w:val="1"/>
      <w:marLeft w:val="0"/>
      <w:marRight w:val="0"/>
      <w:marTop w:val="0"/>
      <w:marBottom w:val="0"/>
      <w:divBdr>
        <w:top w:val="none" w:sz="0" w:space="0" w:color="auto"/>
        <w:left w:val="none" w:sz="0" w:space="0" w:color="auto"/>
        <w:bottom w:val="none" w:sz="0" w:space="0" w:color="auto"/>
        <w:right w:val="none" w:sz="0" w:space="0" w:color="auto"/>
      </w:divBdr>
    </w:div>
    <w:div w:id="630091399">
      <w:bodyDiv w:val="1"/>
      <w:marLeft w:val="0"/>
      <w:marRight w:val="0"/>
      <w:marTop w:val="0"/>
      <w:marBottom w:val="0"/>
      <w:divBdr>
        <w:top w:val="none" w:sz="0" w:space="0" w:color="auto"/>
        <w:left w:val="none" w:sz="0" w:space="0" w:color="auto"/>
        <w:bottom w:val="none" w:sz="0" w:space="0" w:color="auto"/>
        <w:right w:val="none" w:sz="0" w:space="0" w:color="auto"/>
      </w:divBdr>
    </w:div>
    <w:div w:id="639313185">
      <w:bodyDiv w:val="1"/>
      <w:marLeft w:val="0"/>
      <w:marRight w:val="0"/>
      <w:marTop w:val="0"/>
      <w:marBottom w:val="0"/>
      <w:divBdr>
        <w:top w:val="none" w:sz="0" w:space="0" w:color="auto"/>
        <w:left w:val="none" w:sz="0" w:space="0" w:color="auto"/>
        <w:bottom w:val="none" w:sz="0" w:space="0" w:color="auto"/>
        <w:right w:val="none" w:sz="0" w:space="0" w:color="auto"/>
      </w:divBdr>
    </w:div>
    <w:div w:id="742065765">
      <w:bodyDiv w:val="1"/>
      <w:marLeft w:val="0"/>
      <w:marRight w:val="0"/>
      <w:marTop w:val="0"/>
      <w:marBottom w:val="0"/>
      <w:divBdr>
        <w:top w:val="none" w:sz="0" w:space="0" w:color="auto"/>
        <w:left w:val="none" w:sz="0" w:space="0" w:color="auto"/>
        <w:bottom w:val="none" w:sz="0" w:space="0" w:color="auto"/>
        <w:right w:val="none" w:sz="0" w:space="0" w:color="auto"/>
      </w:divBdr>
    </w:div>
    <w:div w:id="808858670">
      <w:bodyDiv w:val="1"/>
      <w:marLeft w:val="0"/>
      <w:marRight w:val="0"/>
      <w:marTop w:val="0"/>
      <w:marBottom w:val="0"/>
      <w:divBdr>
        <w:top w:val="none" w:sz="0" w:space="0" w:color="auto"/>
        <w:left w:val="none" w:sz="0" w:space="0" w:color="auto"/>
        <w:bottom w:val="none" w:sz="0" w:space="0" w:color="auto"/>
        <w:right w:val="none" w:sz="0" w:space="0" w:color="auto"/>
      </w:divBdr>
    </w:div>
    <w:div w:id="833649673">
      <w:bodyDiv w:val="1"/>
      <w:marLeft w:val="0"/>
      <w:marRight w:val="0"/>
      <w:marTop w:val="0"/>
      <w:marBottom w:val="0"/>
      <w:divBdr>
        <w:top w:val="none" w:sz="0" w:space="0" w:color="auto"/>
        <w:left w:val="none" w:sz="0" w:space="0" w:color="auto"/>
        <w:bottom w:val="none" w:sz="0" w:space="0" w:color="auto"/>
        <w:right w:val="none" w:sz="0" w:space="0" w:color="auto"/>
      </w:divBdr>
    </w:div>
    <w:div w:id="861866470">
      <w:bodyDiv w:val="1"/>
      <w:marLeft w:val="0"/>
      <w:marRight w:val="0"/>
      <w:marTop w:val="0"/>
      <w:marBottom w:val="0"/>
      <w:divBdr>
        <w:top w:val="none" w:sz="0" w:space="0" w:color="auto"/>
        <w:left w:val="none" w:sz="0" w:space="0" w:color="auto"/>
        <w:bottom w:val="none" w:sz="0" w:space="0" w:color="auto"/>
        <w:right w:val="none" w:sz="0" w:space="0" w:color="auto"/>
      </w:divBdr>
    </w:div>
    <w:div w:id="872495984">
      <w:bodyDiv w:val="1"/>
      <w:marLeft w:val="0"/>
      <w:marRight w:val="0"/>
      <w:marTop w:val="0"/>
      <w:marBottom w:val="0"/>
      <w:divBdr>
        <w:top w:val="none" w:sz="0" w:space="0" w:color="auto"/>
        <w:left w:val="none" w:sz="0" w:space="0" w:color="auto"/>
        <w:bottom w:val="none" w:sz="0" w:space="0" w:color="auto"/>
        <w:right w:val="none" w:sz="0" w:space="0" w:color="auto"/>
      </w:divBdr>
    </w:div>
    <w:div w:id="894588719">
      <w:bodyDiv w:val="1"/>
      <w:marLeft w:val="0"/>
      <w:marRight w:val="0"/>
      <w:marTop w:val="0"/>
      <w:marBottom w:val="0"/>
      <w:divBdr>
        <w:top w:val="none" w:sz="0" w:space="0" w:color="auto"/>
        <w:left w:val="none" w:sz="0" w:space="0" w:color="auto"/>
        <w:bottom w:val="none" w:sz="0" w:space="0" w:color="auto"/>
        <w:right w:val="none" w:sz="0" w:space="0" w:color="auto"/>
      </w:divBdr>
    </w:div>
    <w:div w:id="931743332">
      <w:bodyDiv w:val="1"/>
      <w:marLeft w:val="0"/>
      <w:marRight w:val="0"/>
      <w:marTop w:val="0"/>
      <w:marBottom w:val="0"/>
      <w:divBdr>
        <w:top w:val="none" w:sz="0" w:space="0" w:color="auto"/>
        <w:left w:val="none" w:sz="0" w:space="0" w:color="auto"/>
        <w:bottom w:val="none" w:sz="0" w:space="0" w:color="auto"/>
        <w:right w:val="none" w:sz="0" w:space="0" w:color="auto"/>
      </w:divBdr>
    </w:div>
    <w:div w:id="1056899471">
      <w:bodyDiv w:val="1"/>
      <w:marLeft w:val="0"/>
      <w:marRight w:val="0"/>
      <w:marTop w:val="0"/>
      <w:marBottom w:val="0"/>
      <w:divBdr>
        <w:top w:val="none" w:sz="0" w:space="0" w:color="auto"/>
        <w:left w:val="none" w:sz="0" w:space="0" w:color="auto"/>
        <w:bottom w:val="none" w:sz="0" w:space="0" w:color="auto"/>
        <w:right w:val="none" w:sz="0" w:space="0" w:color="auto"/>
      </w:divBdr>
    </w:div>
    <w:div w:id="1062875660">
      <w:bodyDiv w:val="1"/>
      <w:marLeft w:val="0"/>
      <w:marRight w:val="0"/>
      <w:marTop w:val="0"/>
      <w:marBottom w:val="0"/>
      <w:divBdr>
        <w:top w:val="none" w:sz="0" w:space="0" w:color="auto"/>
        <w:left w:val="none" w:sz="0" w:space="0" w:color="auto"/>
        <w:bottom w:val="none" w:sz="0" w:space="0" w:color="auto"/>
        <w:right w:val="none" w:sz="0" w:space="0" w:color="auto"/>
      </w:divBdr>
    </w:div>
    <w:div w:id="1209949017">
      <w:bodyDiv w:val="1"/>
      <w:marLeft w:val="0"/>
      <w:marRight w:val="0"/>
      <w:marTop w:val="0"/>
      <w:marBottom w:val="0"/>
      <w:divBdr>
        <w:top w:val="none" w:sz="0" w:space="0" w:color="auto"/>
        <w:left w:val="none" w:sz="0" w:space="0" w:color="auto"/>
        <w:bottom w:val="none" w:sz="0" w:space="0" w:color="auto"/>
        <w:right w:val="none" w:sz="0" w:space="0" w:color="auto"/>
      </w:divBdr>
    </w:div>
    <w:div w:id="1259606463">
      <w:bodyDiv w:val="1"/>
      <w:marLeft w:val="0"/>
      <w:marRight w:val="0"/>
      <w:marTop w:val="0"/>
      <w:marBottom w:val="0"/>
      <w:divBdr>
        <w:top w:val="none" w:sz="0" w:space="0" w:color="auto"/>
        <w:left w:val="none" w:sz="0" w:space="0" w:color="auto"/>
        <w:bottom w:val="none" w:sz="0" w:space="0" w:color="auto"/>
        <w:right w:val="none" w:sz="0" w:space="0" w:color="auto"/>
      </w:divBdr>
    </w:div>
    <w:div w:id="1285624577">
      <w:bodyDiv w:val="1"/>
      <w:marLeft w:val="0"/>
      <w:marRight w:val="0"/>
      <w:marTop w:val="0"/>
      <w:marBottom w:val="0"/>
      <w:divBdr>
        <w:top w:val="none" w:sz="0" w:space="0" w:color="auto"/>
        <w:left w:val="none" w:sz="0" w:space="0" w:color="auto"/>
        <w:bottom w:val="none" w:sz="0" w:space="0" w:color="auto"/>
        <w:right w:val="none" w:sz="0" w:space="0" w:color="auto"/>
      </w:divBdr>
    </w:div>
    <w:div w:id="1330595845">
      <w:bodyDiv w:val="1"/>
      <w:marLeft w:val="0"/>
      <w:marRight w:val="0"/>
      <w:marTop w:val="0"/>
      <w:marBottom w:val="0"/>
      <w:divBdr>
        <w:top w:val="none" w:sz="0" w:space="0" w:color="auto"/>
        <w:left w:val="none" w:sz="0" w:space="0" w:color="auto"/>
        <w:bottom w:val="none" w:sz="0" w:space="0" w:color="auto"/>
        <w:right w:val="none" w:sz="0" w:space="0" w:color="auto"/>
      </w:divBdr>
    </w:div>
    <w:div w:id="1369378567">
      <w:bodyDiv w:val="1"/>
      <w:marLeft w:val="0"/>
      <w:marRight w:val="0"/>
      <w:marTop w:val="0"/>
      <w:marBottom w:val="0"/>
      <w:divBdr>
        <w:top w:val="none" w:sz="0" w:space="0" w:color="auto"/>
        <w:left w:val="none" w:sz="0" w:space="0" w:color="auto"/>
        <w:bottom w:val="none" w:sz="0" w:space="0" w:color="auto"/>
        <w:right w:val="none" w:sz="0" w:space="0" w:color="auto"/>
      </w:divBdr>
    </w:div>
    <w:div w:id="1380281804">
      <w:bodyDiv w:val="1"/>
      <w:marLeft w:val="0"/>
      <w:marRight w:val="0"/>
      <w:marTop w:val="0"/>
      <w:marBottom w:val="0"/>
      <w:divBdr>
        <w:top w:val="none" w:sz="0" w:space="0" w:color="auto"/>
        <w:left w:val="none" w:sz="0" w:space="0" w:color="auto"/>
        <w:bottom w:val="none" w:sz="0" w:space="0" w:color="auto"/>
        <w:right w:val="none" w:sz="0" w:space="0" w:color="auto"/>
      </w:divBdr>
    </w:div>
    <w:div w:id="1400596528">
      <w:bodyDiv w:val="1"/>
      <w:marLeft w:val="0"/>
      <w:marRight w:val="0"/>
      <w:marTop w:val="0"/>
      <w:marBottom w:val="0"/>
      <w:divBdr>
        <w:top w:val="none" w:sz="0" w:space="0" w:color="auto"/>
        <w:left w:val="none" w:sz="0" w:space="0" w:color="auto"/>
        <w:bottom w:val="none" w:sz="0" w:space="0" w:color="auto"/>
        <w:right w:val="none" w:sz="0" w:space="0" w:color="auto"/>
      </w:divBdr>
    </w:div>
    <w:div w:id="1424105883">
      <w:bodyDiv w:val="1"/>
      <w:marLeft w:val="0"/>
      <w:marRight w:val="0"/>
      <w:marTop w:val="0"/>
      <w:marBottom w:val="0"/>
      <w:divBdr>
        <w:top w:val="none" w:sz="0" w:space="0" w:color="auto"/>
        <w:left w:val="none" w:sz="0" w:space="0" w:color="auto"/>
        <w:bottom w:val="none" w:sz="0" w:space="0" w:color="auto"/>
        <w:right w:val="none" w:sz="0" w:space="0" w:color="auto"/>
      </w:divBdr>
    </w:div>
    <w:div w:id="1434983624">
      <w:bodyDiv w:val="1"/>
      <w:marLeft w:val="0"/>
      <w:marRight w:val="0"/>
      <w:marTop w:val="0"/>
      <w:marBottom w:val="0"/>
      <w:divBdr>
        <w:top w:val="none" w:sz="0" w:space="0" w:color="auto"/>
        <w:left w:val="none" w:sz="0" w:space="0" w:color="auto"/>
        <w:bottom w:val="none" w:sz="0" w:space="0" w:color="auto"/>
        <w:right w:val="none" w:sz="0" w:space="0" w:color="auto"/>
      </w:divBdr>
    </w:div>
    <w:div w:id="1443572144">
      <w:bodyDiv w:val="1"/>
      <w:marLeft w:val="0"/>
      <w:marRight w:val="0"/>
      <w:marTop w:val="0"/>
      <w:marBottom w:val="0"/>
      <w:divBdr>
        <w:top w:val="none" w:sz="0" w:space="0" w:color="auto"/>
        <w:left w:val="none" w:sz="0" w:space="0" w:color="auto"/>
        <w:bottom w:val="none" w:sz="0" w:space="0" w:color="auto"/>
        <w:right w:val="none" w:sz="0" w:space="0" w:color="auto"/>
      </w:divBdr>
    </w:div>
    <w:div w:id="1447038859">
      <w:bodyDiv w:val="1"/>
      <w:marLeft w:val="0"/>
      <w:marRight w:val="0"/>
      <w:marTop w:val="0"/>
      <w:marBottom w:val="0"/>
      <w:divBdr>
        <w:top w:val="none" w:sz="0" w:space="0" w:color="auto"/>
        <w:left w:val="none" w:sz="0" w:space="0" w:color="auto"/>
        <w:bottom w:val="none" w:sz="0" w:space="0" w:color="auto"/>
        <w:right w:val="none" w:sz="0" w:space="0" w:color="auto"/>
      </w:divBdr>
    </w:div>
    <w:div w:id="1474058482">
      <w:bodyDiv w:val="1"/>
      <w:marLeft w:val="0"/>
      <w:marRight w:val="0"/>
      <w:marTop w:val="0"/>
      <w:marBottom w:val="0"/>
      <w:divBdr>
        <w:top w:val="none" w:sz="0" w:space="0" w:color="auto"/>
        <w:left w:val="none" w:sz="0" w:space="0" w:color="auto"/>
        <w:bottom w:val="none" w:sz="0" w:space="0" w:color="auto"/>
        <w:right w:val="none" w:sz="0" w:space="0" w:color="auto"/>
      </w:divBdr>
    </w:div>
    <w:div w:id="1500775317">
      <w:bodyDiv w:val="1"/>
      <w:marLeft w:val="0"/>
      <w:marRight w:val="0"/>
      <w:marTop w:val="0"/>
      <w:marBottom w:val="0"/>
      <w:divBdr>
        <w:top w:val="none" w:sz="0" w:space="0" w:color="auto"/>
        <w:left w:val="none" w:sz="0" w:space="0" w:color="auto"/>
        <w:bottom w:val="none" w:sz="0" w:space="0" w:color="auto"/>
        <w:right w:val="none" w:sz="0" w:space="0" w:color="auto"/>
      </w:divBdr>
    </w:div>
    <w:div w:id="1512640087">
      <w:bodyDiv w:val="1"/>
      <w:marLeft w:val="0"/>
      <w:marRight w:val="0"/>
      <w:marTop w:val="0"/>
      <w:marBottom w:val="0"/>
      <w:divBdr>
        <w:top w:val="none" w:sz="0" w:space="0" w:color="auto"/>
        <w:left w:val="none" w:sz="0" w:space="0" w:color="auto"/>
        <w:bottom w:val="none" w:sz="0" w:space="0" w:color="auto"/>
        <w:right w:val="none" w:sz="0" w:space="0" w:color="auto"/>
      </w:divBdr>
    </w:div>
    <w:div w:id="1568570633">
      <w:bodyDiv w:val="1"/>
      <w:marLeft w:val="0"/>
      <w:marRight w:val="0"/>
      <w:marTop w:val="0"/>
      <w:marBottom w:val="0"/>
      <w:divBdr>
        <w:top w:val="none" w:sz="0" w:space="0" w:color="auto"/>
        <w:left w:val="none" w:sz="0" w:space="0" w:color="auto"/>
        <w:bottom w:val="none" w:sz="0" w:space="0" w:color="auto"/>
        <w:right w:val="none" w:sz="0" w:space="0" w:color="auto"/>
      </w:divBdr>
    </w:div>
    <w:div w:id="1575427974">
      <w:bodyDiv w:val="1"/>
      <w:marLeft w:val="0"/>
      <w:marRight w:val="0"/>
      <w:marTop w:val="0"/>
      <w:marBottom w:val="0"/>
      <w:divBdr>
        <w:top w:val="none" w:sz="0" w:space="0" w:color="auto"/>
        <w:left w:val="none" w:sz="0" w:space="0" w:color="auto"/>
        <w:bottom w:val="none" w:sz="0" w:space="0" w:color="auto"/>
        <w:right w:val="none" w:sz="0" w:space="0" w:color="auto"/>
      </w:divBdr>
    </w:div>
    <w:div w:id="1593581902">
      <w:bodyDiv w:val="1"/>
      <w:marLeft w:val="0"/>
      <w:marRight w:val="0"/>
      <w:marTop w:val="0"/>
      <w:marBottom w:val="0"/>
      <w:divBdr>
        <w:top w:val="none" w:sz="0" w:space="0" w:color="auto"/>
        <w:left w:val="none" w:sz="0" w:space="0" w:color="auto"/>
        <w:bottom w:val="none" w:sz="0" w:space="0" w:color="auto"/>
        <w:right w:val="none" w:sz="0" w:space="0" w:color="auto"/>
      </w:divBdr>
    </w:div>
    <w:div w:id="1644584177">
      <w:bodyDiv w:val="1"/>
      <w:marLeft w:val="0"/>
      <w:marRight w:val="0"/>
      <w:marTop w:val="0"/>
      <w:marBottom w:val="0"/>
      <w:divBdr>
        <w:top w:val="none" w:sz="0" w:space="0" w:color="auto"/>
        <w:left w:val="none" w:sz="0" w:space="0" w:color="auto"/>
        <w:bottom w:val="none" w:sz="0" w:space="0" w:color="auto"/>
        <w:right w:val="none" w:sz="0" w:space="0" w:color="auto"/>
      </w:divBdr>
    </w:div>
    <w:div w:id="1722090842">
      <w:bodyDiv w:val="1"/>
      <w:marLeft w:val="0"/>
      <w:marRight w:val="0"/>
      <w:marTop w:val="0"/>
      <w:marBottom w:val="0"/>
      <w:divBdr>
        <w:top w:val="none" w:sz="0" w:space="0" w:color="auto"/>
        <w:left w:val="none" w:sz="0" w:space="0" w:color="auto"/>
        <w:bottom w:val="none" w:sz="0" w:space="0" w:color="auto"/>
        <w:right w:val="none" w:sz="0" w:space="0" w:color="auto"/>
      </w:divBdr>
    </w:div>
    <w:div w:id="1731879370">
      <w:bodyDiv w:val="1"/>
      <w:marLeft w:val="0"/>
      <w:marRight w:val="0"/>
      <w:marTop w:val="0"/>
      <w:marBottom w:val="0"/>
      <w:divBdr>
        <w:top w:val="none" w:sz="0" w:space="0" w:color="auto"/>
        <w:left w:val="none" w:sz="0" w:space="0" w:color="auto"/>
        <w:bottom w:val="none" w:sz="0" w:space="0" w:color="auto"/>
        <w:right w:val="none" w:sz="0" w:space="0" w:color="auto"/>
      </w:divBdr>
    </w:div>
    <w:div w:id="1772318516">
      <w:bodyDiv w:val="1"/>
      <w:marLeft w:val="0"/>
      <w:marRight w:val="0"/>
      <w:marTop w:val="0"/>
      <w:marBottom w:val="0"/>
      <w:divBdr>
        <w:top w:val="none" w:sz="0" w:space="0" w:color="auto"/>
        <w:left w:val="none" w:sz="0" w:space="0" w:color="auto"/>
        <w:bottom w:val="none" w:sz="0" w:space="0" w:color="auto"/>
        <w:right w:val="none" w:sz="0" w:space="0" w:color="auto"/>
      </w:divBdr>
    </w:div>
    <w:div w:id="1784838465">
      <w:bodyDiv w:val="1"/>
      <w:marLeft w:val="0"/>
      <w:marRight w:val="0"/>
      <w:marTop w:val="0"/>
      <w:marBottom w:val="0"/>
      <w:divBdr>
        <w:top w:val="none" w:sz="0" w:space="0" w:color="auto"/>
        <w:left w:val="none" w:sz="0" w:space="0" w:color="auto"/>
        <w:bottom w:val="none" w:sz="0" w:space="0" w:color="auto"/>
        <w:right w:val="none" w:sz="0" w:space="0" w:color="auto"/>
      </w:divBdr>
    </w:div>
    <w:div w:id="1845777192">
      <w:bodyDiv w:val="1"/>
      <w:marLeft w:val="0"/>
      <w:marRight w:val="0"/>
      <w:marTop w:val="0"/>
      <w:marBottom w:val="0"/>
      <w:divBdr>
        <w:top w:val="none" w:sz="0" w:space="0" w:color="auto"/>
        <w:left w:val="none" w:sz="0" w:space="0" w:color="auto"/>
        <w:bottom w:val="none" w:sz="0" w:space="0" w:color="auto"/>
        <w:right w:val="none" w:sz="0" w:space="0" w:color="auto"/>
      </w:divBdr>
    </w:div>
    <w:div w:id="1888755097">
      <w:bodyDiv w:val="1"/>
      <w:marLeft w:val="0"/>
      <w:marRight w:val="0"/>
      <w:marTop w:val="0"/>
      <w:marBottom w:val="0"/>
      <w:divBdr>
        <w:top w:val="none" w:sz="0" w:space="0" w:color="auto"/>
        <w:left w:val="none" w:sz="0" w:space="0" w:color="auto"/>
        <w:bottom w:val="none" w:sz="0" w:space="0" w:color="auto"/>
        <w:right w:val="none" w:sz="0" w:space="0" w:color="auto"/>
      </w:divBdr>
    </w:div>
    <w:div w:id="1904018972">
      <w:bodyDiv w:val="1"/>
      <w:marLeft w:val="0"/>
      <w:marRight w:val="0"/>
      <w:marTop w:val="0"/>
      <w:marBottom w:val="0"/>
      <w:divBdr>
        <w:top w:val="none" w:sz="0" w:space="0" w:color="auto"/>
        <w:left w:val="none" w:sz="0" w:space="0" w:color="auto"/>
        <w:bottom w:val="none" w:sz="0" w:space="0" w:color="auto"/>
        <w:right w:val="none" w:sz="0" w:space="0" w:color="auto"/>
      </w:divBdr>
    </w:div>
    <w:div w:id="1904441698">
      <w:bodyDiv w:val="1"/>
      <w:marLeft w:val="0"/>
      <w:marRight w:val="0"/>
      <w:marTop w:val="0"/>
      <w:marBottom w:val="0"/>
      <w:divBdr>
        <w:top w:val="none" w:sz="0" w:space="0" w:color="auto"/>
        <w:left w:val="none" w:sz="0" w:space="0" w:color="auto"/>
        <w:bottom w:val="none" w:sz="0" w:space="0" w:color="auto"/>
        <w:right w:val="none" w:sz="0" w:space="0" w:color="auto"/>
      </w:divBdr>
    </w:div>
    <w:div w:id="1921061091">
      <w:bodyDiv w:val="1"/>
      <w:marLeft w:val="0"/>
      <w:marRight w:val="0"/>
      <w:marTop w:val="0"/>
      <w:marBottom w:val="0"/>
      <w:divBdr>
        <w:top w:val="none" w:sz="0" w:space="0" w:color="auto"/>
        <w:left w:val="none" w:sz="0" w:space="0" w:color="auto"/>
        <w:bottom w:val="none" w:sz="0" w:space="0" w:color="auto"/>
        <w:right w:val="none" w:sz="0" w:space="0" w:color="auto"/>
      </w:divBdr>
    </w:div>
    <w:div w:id="1930771973">
      <w:bodyDiv w:val="1"/>
      <w:marLeft w:val="0"/>
      <w:marRight w:val="0"/>
      <w:marTop w:val="0"/>
      <w:marBottom w:val="0"/>
      <w:divBdr>
        <w:top w:val="none" w:sz="0" w:space="0" w:color="auto"/>
        <w:left w:val="none" w:sz="0" w:space="0" w:color="auto"/>
        <w:bottom w:val="none" w:sz="0" w:space="0" w:color="auto"/>
        <w:right w:val="none" w:sz="0" w:space="0" w:color="auto"/>
      </w:divBdr>
    </w:div>
    <w:div w:id="1991514607">
      <w:bodyDiv w:val="1"/>
      <w:marLeft w:val="0"/>
      <w:marRight w:val="0"/>
      <w:marTop w:val="0"/>
      <w:marBottom w:val="0"/>
      <w:divBdr>
        <w:top w:val="none" w:sz="0" w:space="0" w:color="auto"/>
        <w:left w:val="none" w:sz="0" w:space="0" w:color="auto"/>
        <w:bottom w:val="none" w:sz="0" w:space="0" w:color="auto"/>
        <w:right w:val="none" w:sz="0" w:space="0" w:color="auto"/>
      </w:divBdr>
    </w:div>
    <w:div w:id="2017924933">
      <w:bodyDiv w:val="1"/>
      <w:marLeft w:val="0"/>
      <w:marRight w:val="0"/>
      <w:marTop w:val="0"/>
      <w:marBottom w:val="0"/>
      <w:divBdr>
        <w:top w:val="none" w:sz="0" w:space="0" w:color="auto"/>
        <w:left w:val="none" w:sz="0" w:space="0" w:color="auto"/>
        <w:bottom w:val="none" w:sz="0" w:space="0" w:color="auto"/>
        <w:right w:val="none" w:sz="0" w:space="0" w:color="auto"/>
      </w:divBdr>
    </w:div>
    <w:div w:id="2023042100">
      <w:bodyDiv w:val="1"/>
      <w:marLeft w:val="0"/>
      <w:marRight w:val="0"/>
      <w:marTop w:val="0"/>
      <w:marBottom w:val="0"/>
      <w:divBdr>
        <w:top w:val="none" w:sz="0" w:space="0" w:color="auto"/>
        <w:left w:val="none" w:sz="0" w:space="0" w:color="auto"/>
        <w:bottom w:val="none" w:sz="0" w:space="0" w:color="auto"/>
        <w:right w:val="none" w:sz="0" w:space="0" w:color="auto"/>
      </w:divBdr>
    </w:div>
    <w:div w:id="2050104214">
      <w:bodyDiv w:val="1"/>
      <w:marLeft w:val="0"/>
      <w:marRight w:val="0"/>
      <w:marTop w:val="0"/>
      <w:marBottom w:val="0"/>
      <w:divBdr>
        <w:top w:val="none" w:sz="0" w:space="0" w:color="auto"/>
        <w:left w:val="none" w:sz="0" w:space="0" w:color="auto"/>
        <w:bottom w:val="none" w:sz="0" w:space="0" w:color="auto"/>
        <w:right w:val="none" w:sz="0" w:space="0" w:color="auto"/>
      </w:divBdr>
    </w:div>
    <w:div w:id="2079353985">
      <w:bodyDiv w:val="1"/>
      <w:marLeft w:val="0"/>
      <w:marRight w:val="0"/>
      <w:marTop w:val="0"/>
      <w:marBottom w:val="0"/>
      <w:divBdr>
        <w:top w:val="none" w:sz="0" w:space="0" w:color="auto"/>
        <w:left w:val="none" w:sz="0" w:space="0" w:color="auto"/>
        <w:bottom w:val="none" w:sz="0" w:space="0" w:color="auto"/>
        <w:right w:val="none" w:sz="0" w:space="0" w:color="auto"/>
      </w:divBdr>
    </w:div>
    <w:div w:id="2097633113">
      <w:bodyDiv w:val="1"/>
      <w:marLeft w:val="0"/>
      <w:marRight w:val="0"/>
      <w:marTop w:val="0"/>
      <w:marBottom w:val="0"/>
      <w:divBdr>
        <w:top w:val="none" w:sz="0" w:space="0" w:color="auto"/>
        <w:left w:val="none" w:sz="0" w:space="0" w:color="auto"/>
        <w:bottom w:val="none" w:sz="0" w:space="0" w:color="auto"/>
        <w:right w:val="none" w:sz="0" w:space="0" w:color="auto"/>
      </w:divBdr>
      <w:divsChild>
        <w:div w:id="2102725329">
          <w:marLeft w:val="0"/>
          <w:marRight w:val="576"/>
          <w:marTop w:val="0"/>
          <w:marBottom w:val="120"/>
          <w:divBdr>
            <w:top w:val="none" w:sz="0" w:space="0" w:color="auto"/>
            <w:left w:val="none" w:sz="0" w:space="0" w:color="auto"/>
            <w:bottom w:val="none" w:sz="0" w:space="0" w:color="auto"/>
            <w:right w:val="none" w:sz="0" w:space="0" w:color="auto"/>
          </w:divBdr>
        </w:div>
      </w:divsChild>
    </w:div>
    <w:div w:id="2119401253">
      <w:bodyDiv w:val="1"/>
      <w:marLeft w:val="0"/>
      <w:marRight w:val="0"/>
      <w:marTop w:val="0"/>
      <w:marBottom w:val="0"/>
      <w:divBdr>
        <w:top w:val="none" w:sz="0" w:space="0" w:color="auto"/>
        <w:left w:val="none" w:sz="0" w:space="0" w:color="auto"/>
        <w:bottom w:val="none" w:sz="0" w:space="0" w:color="auto"/>
        <w:right w:val="none" w:sz="0" w:space="0" w:color="auto"/>
      </w:divBdr>
    </w:div>
    <w:div w:id="2127194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09EB3-4B42-42FF-9AFB-5E32A3F36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1593</Words>
  <Characters>9081</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2014-12-08T23:54:00Z</dcterms:created>
  <dcterms:modified xsi:type="dcterms:W3CDTF">2014-12-10T18:34:00Z</dcterms:modified>
</cp:coreProperties>
</file>