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3721" w:rsidRDefault="00CE3721" w:rsidP="00CE3721">
      <w:pPr>
        <w:jc w:val="center"/>
      </w:pPr>
      <w:r>
        <w:rPr>
          <w:b/>
          <w:bCs/>
          <w:rtl/>
        </w:rPr>
        <w:t>الاستشارة والوساطة والتحكيم والمساومة (1)</w:t>
      </w:r>
    </w:p>
    <w:p w:rsidR="00CE3721" w:rsidRDefault="00CE3721" w:rsidP="00CE3721">
      <w:pPr>
        <w:rPr>
          <w:rtl/>
        </w:rPr>
      </w:pPr>
    </w:p>
    <w:p w:rsidR="00CE3721" w:rsidRDefault="00CE3721" w:rsidP="00CE3721">
      <w:pPr>
        <w:jc w:val="right"/>
        <w:rPr>
          <w:b/>
          <w:bCs/>
          <w:sz w:val="28"/>
          <w:szCs w:val="28"/>
          <w:rtl/>
        </w:rPr>
      </w:pPr>
      <w:r>
        <w:rPr>
          <w:b/>
          <w:bCs/>
          <w:sz w:val="28"/>
          <w:szCs w:val="28"/>
          <w:rtl/>
        </w:rPr>
        <w:t>مقدمة:</w:t>
      </w:r>
    </w:p>
    <w:p w:rsidR="00CE3721" w:rsidRDefault="00CE3721" w:rsidP="00CE3721">
      <w:pPr>
        <w:bidi/>
        <w:rPr>
          <w:b/>
          <w:bCs/>
          <w:rtl/>
        </w:rPr>
      </w:pPr>
      <w:r>
        <w:rPr>
          <w:b/>
          <w:bCs/>
          <w:rtl/>
        </w:rPr>
        <w:t>كثيرا ما يلجأ المتفاوضون إلى جهة محايدة للتدخل أو لترشيد سير المفاوضات؛</w:t>
      </w:r>
      <w:r>
        <w:rPr>
          <w:rFonts w:hint="cs"/>
          <w:b/>
          <w:bCs/>
          <w:rtl/>
        </w:rPr>
        <w:t xml:space="preserve"> </w:t>
      </w:r>
      <w:r>
        <w:rPr>
          <w:b/>
          <w:bCs/>
          <w:rtl/>
        </w:rPr>
        <w:t>نميز هنا بين ثلاثة اتجاهات أساسية تلعب دورا بارزا في إنجاح عملية التفاوض؛</w:t>
      </w:r>
      <w:r>
        <w:rPr>
          <w:rFonts w:hint="cs"/>
          <w:b/>
          <w:bCs/>
          <w:rtl/>
        </w:rPr>
        <w:t xml:space="preserve"> </w:t>
      </w:r>
      <w:r>
        <w:rPr>
          <w:b/>
          <w:bCs/>
          <w:rtl/>
        </w:rPr>
        <w:t>يتعلق الأمر أساسا بالاستشارة والوساطة والتحكيم؛</w:t>
      </w:r>
      <w:r>
        <w:rPr>
          <w:rFonts w:hint="cs"/>
          <w:b/>
          <w:bCs/>
          <w:rtl/>
        </w:rPr>
        <w:t xml:space="preserve"> </w:t>
      </w:r>
      <w:r>
        <w:rPr>
          <w:b/>
          <w:bCs/>
          <w:rtl/>
        </w:rPr>
        <w:t>إن الاستشارة والوساطة والتحكيم هي في الواقع، صور من سلوك فض النزاع التي يمكن استخدامها جميعها في إطار عملية التفاوض الأكثر شمولا.</w:t>
      </w:r>
    </w:p>
    <w:p w:rsidR="00CE3721" w:rsidRDefault="00CE3721" w:rsidP="00CE3721">
      <w:pPr>
        <w:rPr>
          <w:rtl/>
        </w:rPr>
      </w:pPr>
    </w:p>
    <w:p w:rsidR="00CE3721" w:rsidRDefault="00CE3721" w:rsidP="00CE3721">
      <w:pPr>
        <w:jc w:val="right"/>
        <w:rPr>
          <w:b/>
          <w:bCs/>
          <w:color w:val="C00000"/>
          <w:sz w:val="28"/>
          <w:szCs w:val="28"/>
          <w:rtl/>
        </w:rPr>
      </w:pPr>
      <w:r>
        <w:rPr>
          <w:b/>
          <w:bCs/>
          <w:color w:val="C00000"/>
          <w:sz w:val="28"/>
          <w:szCs w:val="28"/>
          <w:rtl/>
        </w:rPr>
        <w:t>أولا: الاتجاهات الأساسية في اللجوء إلى جهات محايدة:</w:t>
      </w:r>
    </w:p>
    <w:p w:rsidR="00CE3721" w:rsidRDefault="00CE3721" w:rsidP="00CE3721">
      <w:pPr>
        <w:jc w:val="right"/>
        <w:rPr>
          <w:b/>
          <w:bCs/>
          <w:color w:val="C00000"/>
          <w:sz w:val="28"/>
          <w:szCs w:val="28"/>
          <w:rtl/>
        </w:rPr>
      </w:pPr>
    </w:p>
    <w:p w:rsidR="00CE3721" w:rsidRDefault="00CE3721" w:rsidP="00CE3721">
      <w:pPr>
        <w:bidi/>
        <w:rPr>
          <w:sz w:val="28"/>
          <w:szCs w:val="28"/>
          <w:rtl/>
        </w:rPr>
      </w:pPr>
      <w:r>
        <w:rPr>
          <w:b/>
          <w:bCs/>
          <w:rtl/>
        </w:rPr>
        <w:t>1</w:t>
      </w:r>
      <w:r>
        <w:rPr>
          <w:b/>
          <w:bCs/>
          <w:sz w:val="28"/>
          <w:szCs w:val="28"/>
          <w:rtl/>
        </w:rPr>
        <w:t>- الاتجاه الأول (الاستشارة):</w:t>
      </w:r>
    </w:p>
    <w:p w:rsidR="00CE3721" w:rsidRDefault="00CE3721" w:rsidP="00CE3721">
      <w:pPr>
        <w:bidi/>
        <w:rPr>
          <w:b/>
          <w:bCs/>
        </w:rPr>
      </w:pPr>
      <w:r>
        <w:rPr>
          <w:b/>
          <w:bCs/>
          <w:rtl/>
        </w:rPr>
        <w:t xml:space="preserve">ويقصد به اتجاه </w:t>
      </w:r>
      <w:r>
        <w:rPr>
          <w:b/>
          <w:bCs/>
          <w:u w:val="single"/>
          <w:rtl/>
        </w:rPr>
        <w:t>أحد</w:t>
      </w:r>
      <w:r>
        <w:rPr>
          <w:b/>
          <w:bCs/>
          <w:rtl/>
        </w:rPr>
        <w:t xml:space="preserve"> أطراف التفاوض إلى جهة استشارية ذات خبرة في مجالات التفاوض لإبداء الرأي وتقديم النصح فيما يخص توجيه خط سير المفاوضات وترشيد عمليات التوصل إلى حل مرض ما أمكن؛</w:t>
      </w:r>
      <w:r>
        <w:rPr>
          <w:rFonts w:hint="cs"/>
          <w:b/>
          <w:bCs/>
          <w:rtl/>
        </w:rPr>
        <w:t xml:space="preserve"> </w:t>
      </w:r>
      <w:r>
        <w:rPr>
          <w:b/>
          <w:bCs/>
          <w:rtl/>
        </w:rPr>
        <w:t>تجدر الإشارة إلى أنه غالبا ما يكون الطرف الآخر جاهلا بلجوء الطرف المعني لمستشار خارجي، وذلك في الوقت الذي يسلك فيه هو أيضا ذات السلوك؛</w:t>
      </w:r>
      <w:r>
        <w:rPr>
          <w:rFonts w:hint="cs"/>
          <w:b/>
          <w:bCs/>
          <w:rtl/>
        </w:rPr>
        <w:t xml:space="preserve"> </w:t>
      </w:r>
      <w:r>
        <w:rPr>
          <w:b/>
          <w:bCs/>
          <w:rtl/>
        </w:rPr>
        <w:t>إن الدور المنوط بالمرشد أو المحلل (</w:t>
      </w:r>
      <w:r>
        <w:rPr>
          <w:b/>
          <w:bCs/>
        </w:rPr>
        <w:t>Analyst</w:t>
      </w:r>
      <w:r>
        <w:rPr>
          <w:b/>
          <w:bCs/>
          <w:rtl/>
        </w:rPr>
        <w:t>)هنا هو دور استشاري محض، بحيث تتمثل سلطته في تقديم الفكرة بكيفية التصرف وإبداء الرأي دون إلزام الطرف المفاوض بتنفيذه، حيث يمكن أخذ الاستشارة كما هي، أو إجراء تعديلات عليها؛</w:t>
      </w:r>
      <w:r>
        <w:rPr>
          <w:rFonts w:hint="cs"/>
          <w:b/>
          <w:bCs/>
          <w:rtl/>
        </w:rPr>
        <w:t xml:space="preserve"> </w:t>
      </w:r>
      <w:r>
        <w:rPr>
          <w:b/>
          <w:bCs/>
          <w:rtl/>
        </w:rPr>
        <w:t>كما أن المستشار لا يتقابل مع الطرف الآخر ولا يظهر بشكل مباشر في المفاوضات.</w:t>
      </w:r>
    </w:p>
    <w:p w:rsidR="00CE3721" w:rsidRDefault="00CE3721" w:rsidP="00CE3721">
      <w:pPr>
        <w:bidi/>
        <w:rPr>
          <w:b/>
          <w:bCs/>
          <w:sz w:val="24"/>
          <w:szCs w:val="24"/>
          <w:rtl/>
        </w:rPr>
      </w:pPr>
    </w:p>
    <w:p w:rsidR="00CE3721" w:rsidRDefault="00CE3721" w:rsidP="00CE3721">
      <w:pPr>
        <w:bidi/>
        <w:rPr>
          <w:sz w:val="28"/>
          <w:szCs w:val="28"/>
          <w:rtl/>
        </w:rPr>
      </w:pPr>
      <w:r>
        <w:rPr>
          <w:b/>
          <w:bCs/>
        </w:rPr>
        <w:t>2</w:t>
      </w:r>
      <w:r>
        <w:rPr>
          <w:b/>
          <w:bCs/>
          <w:sz w:val="28"/>
          <w:szCs w:val="28"/>
          <w:rtl/>
        </w:rPr>
        <w:t>- الاتجاه الثاني (الوساطة):</w:t>
      </w:r>
    </w:p>
    <w:p w:rsidR="00CE3721" w:rsidRDefault="00CE3721" w:rsidP="00CE3721">
      <w:pPr>
        <w:bidi/>
        <w:rPr>
          <w:b/>
          <w:bCs/>
          <w:rtl/>
        </w:rPr>
      </w:pPr>
      <w:r>
        <w:rPr>
          <w:b/>
          <w:bCs/>
          <w:rtl/>
        </w:rPr>
        <w:t>ويتعلق الأمر بلجوء طرفي (أو أطراف) التفاوض إلى جهة محايدة لتعمل كوسيط لحل النزاع خاصة عندما يكون الموقف التفاوضي محتدما وتكون المفاوضات قد وصلت إلى طريق مسدود يعكس تعارضا واضحا في الأهداف؛</w:t>
      </w:r>
      <w:r>
        <w:rPr>
          <w:rFonts w:hint="cs"/>
          <w:b/>
          <w:bCs/>
          <w:rtl/>
        </w:rPr>
        <w:t xml:space="preserve"> </w:t>
      </w:r>
      <w:r>
        <w:rPr>
          <w:b/>
          <w:bCs/>
          <w:rtl/>
        </w:rPr>
        <w:t>هنا يعمل الوسيط (</w:t>
      </w:r>
      <w:r>
        <w:rPr>
          <w:b/>
          <w:bCs/>
        </w:rPr>
        <w:t>Mediator</w:t>
      </w:r>
      <w:r>
        <w:rPr>
          <w:b/>
          <w:bCs/>
          <w:rtl/>
        </w:rPr>
        <w:t>) كحلقة وصل بين أطراف النزاع المباشرين ويختلف دوره جوهريا عن حالة المحلل الذي يعمل كمستشار لصالح طرف واحد فقط في النزاع وبدون التدخل بشكل مباشر في المفاوضات.</w:t>
      </w:r>
    </w:p>
    <w:p w:rsidR="00CE3721" w:rsidRDefault="00CE3721" w:rsidP="00CE3721">
      <w:pPr>
        <w:rPr>
          <w:rtl/>
        </w:rPr>
      </w:pPr>
    </w:p>
    <w:p w:rsidR="00CE3721" w:rsidRDefault="00CE3721" w:rsidP="00CE3721">
      <w:pPr>
        <w:bidi/>
        <w:rPr>
          <w:sz w:val="28"/>
          <w:szCs w:val="28"/>
          <w:rtl/>
        </w:rPr>
      </w:pPr>
      <w:r>
        <w:rPr>
          <w:b/>
          <w:bCs/>
        </w:rPr>
        <w:t>3</w:t>
      </w:r>
      <w:r>
        <w:rPr>
          <w:b/>
          <w:bCs/>
          <w:sz w:val="28"/>
          <w:szCs w:val="28"/>
          <w:rtl/>
        </w:rPr>
        <w:t>- الاتجاه الثالث (التحكيم):</w:t>
      </w:r>
    </w:p>
    <w:p w:rsidR="00CE3721" w:rsidRPr="00CE3721" w:rsidRDefault="00CE3721" w:rsidP="00CE3721">
      <w:pPr>
        <w:bidi/>
        <w:rPr>
          <w:b/>
          <w:bCs/>
          <w:rtl/>
        </w:rPr>
      </w:pPr>
      <w:r>
        <w:rPr>
          <w:b/>
          <w:bCs/>
          <w:rtl/>
        </w:rPr>
        <w:t>ويقصد به لجوء أطراف التفاوض إلى جهة محايدة لدراسة وتقييم الموقف واتخاذ القرار العادل بالنسبة لجميع الأطراف. فالمحكم (</w:t>
      </w:r>
      <w:r>
        <w:rPr>
          <w:b/>
          <w:bCs/>
        </w:rPr>
        <w:t>Arbitrator</w:t>
      </w:r>
      <w:r>
        <w:rPr>
          <w:b/>
          <w:bCs/>
          <w:rtl/>
        </w:rPr>
        <w:t>) يقوم بدور مشابه تماما لدور القاضي يحكم في القضايا والمنازعات بجميع صورها ويكون حكمه نافذا على جميع الأطراف المعنية؛</w:t>
      </w:r>
      <w:r>
        <w:rPr>
          <w:rFonts w:hint="cs"/>
          <w:b/>
          <w:bCs/>
          <w:rtl/>
        </w:rPr>
        <w:t xml:space="preserve"> </w:t>
      </w:r>
      <w:r>
        <w:rPr>
          <w:b/>
          <w:bCs/>
          <w:rtl/>
        </w:rPr>
        <w:t>إن ذلك إذن يختلف عن دور الوسيط الذي يحاول تقديم النصح وتوجيه المشورة لكل الأطراف وتقريب وجهات نظرهم دون أن يتخذ القرار أو يمتلك سلطة القرار الملزم لهم</w:t>
      </w:r>
      <w:r>
        <w:rPr>
          <w:rtl/>
        </w:rPr>
        <w:t>.</w:t>
      </w:r>
      <w:r>
        <w:rPr>
          <w:rFonts w:hint="cs"/>
        </w:rPr>
        <w:t xml:space="preserve"> </w:t>
      </w:r>
    </w:p>
    <w:p w:rsidR="00CE3721" w:rsidRDefault="00CE3721" w:rsidP="00CE3721">
      <w:pPr>
        <w:bidi/>
        <w:rPr>
          <w:rtl/>
        </w:rPr>
      </w:pPr>
      <w:r w:rsidRPr="00CE3721">
        <w:rPr>
          <w:b/>
          <w:bCs/>
          <w:sz w:val="24"/>
          <w:szCs w:val="24"/>
          <w:rtl/>
        </w:rPr>
        <w:t>ملاحظـــــــــــــــــة</w:t>
      </w:r>
      <w:r>
        <w:rPr>
          <w:b/>
          <w:bCs/>
          <w:rtl/>
        </w:rPr>
        <w:t>:</w:t>
      </w:r>
    </w:p>
    <w:p w:rsidR="00CE3721" w:rsidRDefault="00CE3721" w:rsidP="00CE3721">
      <w:pPr>
        <w:bidi/>
        <w:rPr>
          <w:b/>
          <w:bCs/>
        </w:rPr>
      </w:pPr>
      <w:r>
        <w:rPr>
          <w:b/>
          <w:bCs/>
          <w:rtl/>
        </w:rPr>
        <w:t>إن هذه الاتجاهات الثلاثة السابقة، (الوساطة والاستشارة والتحكيم)، تشترك في التجاء طرف أو أكثر من المتفاوضين لجهة محايدة، غير متصلة، بشكل مباشر على الأقل، بموضوع النزاع للمساعدة في توجيه العملية وترشيد التوصل إلى اتفاق.</w:t>
      </w:r>
    </w:p>
    <w:p w:rsidR="00CE3721" w:rsidRDefault="00CE3721" w:rsidP="00CE3721">
      <w:pPr>
        <w:bidi/>
        <w:rPr>
          <w:rtl/>
        </w:rPr>
      </w:pPr>
    </w:p>
    <w:p w:rsidR="00CE3721" w:rsidRDefault="00CE3721" w:rsidP="00CE3721">
      <w:pPr>
        <w:jc w:val="right"/>
        <w:rPr>
          <w:b/>
          <w:bCs/>
          <w:color w:val="C00000"/>
          <w:sz w:val="28"/>
          <w:szCs w:val="28"/>
          <w:rtl/>
        </w:rPr>
      </w:pPr>
      <w:r>
        <w:rPr>
          <w:b/>
          <w:bCs/>
          <w:color w:val="C00000"/>
          <w:sz w:val="28"/>
          <w:szCs w:val="28"/>
          <w:rtl/>
        </w:rPr>
        <w:lastRenderedPageBreak/>
        <w:t>ثانيا: الاستشارة والمحللون</w:t>
      </w:r>
    </w:p>
    <w:p w:rsidR="00CE3721" w:rsidRDefault="00CE3721" w:rsidP="00CE3721">
      <w:pPr>
        <w:bidi/>
        <w:rPr>
          <w:color w:val="4F6228" w:themeColor="accent3" w:themeShade="80"/>
          <w:sz w:val="24"/>
          <w:szCs w:val="24"/>
          <w:rtl/>
        </w:rPr>
      </w:pPr>
      <w:r>
        <w:rPr>
          <w:b/>
          <w:bCs/>
          <w:rtl/>
        </w:rPr>
        <w:t>1</w:t>
      </w:r>
      <w:r>
        <w:rPr>
          <w:b/>
          <w:bCs/>
          <w:color w:val="4F6228" w:themeColor="accent3" w:themeShade="80"/>
          <w:sz w:val="24"/>
          <w:szCs w:val="24"/>
          <w:rtl/>
        </w:rPr>
        <w:t>-متى يتم اللجوء للمستشارين؟</w:t>
      </w:r>
    </w:p>
    <w:p w:rsidR="00CE3721" w:rsidRDefault="00CE3721" w:rsidP="00CE3721">
      <w:pPr>
        <w:bidi/>
        <w:rPr>
          <w:b/>
          <w:bCs/>
        </w:rPr>
      </w:pPr>
      <w:r>
        <w:rPr>
          <w:b/>
          <w:bCs/>
          <w:rtl/>
        </w:rPr>
        <w:t>من المفيد اللجوء للاستشارة عندما يكون الموقف التفاوضي ذا طبيعة خاصة تحتاج لقدرات ومهارات لا تتوفر لدى أطراف التفاوض المعنية، وللحصول على مزيد من المعلومات عن الطرف الآخر، وعن الاستراتيجية المناسبة للاستخدام وعن كيفية الاعداد للتفاوض في مراحله الأولى وكيفية إنهاء المفاوضات في مراحلها الأخيرة.</w:t>
      </w:r>
    </w:p>
    <w:p w:rsidR="00CE3721" w:rsidRDefault="00CE3721" w:rsidP="00CE3721">
      <w:pPr>
        <w:bidi/>
        <w:rPr>
          <w:b/>
          <w:bCs/>
          <w:rtl/>
        </w:rPr>
      </w:pPr>
      <w:r>
        <w:rPr>
          <w:b/>
          <w:bCs/>
          <w:rtl/>
        </w:rPr>
        <w:t>أما بالنسبة لصورة التعاقد معه، فقد تكون على أساس علاقة مستمرة، أو علاقة مؤقتة تنتهي بانتهاء الصفقة.</w:t>
      </w:r>
    </w:p>
    <w:p w:rsidR="00CE3721" w:rsidRDefault="00CE3721" w:rsidP="00CE3721">
      <w:pPr>
        <w:rPr>
          <w:rtl/>
        </w:rPr>
      </w:pPr>
    </w:p>
    <w:p w:rsidR="00CE3721" w:rsidRDefault="00CE3721" w:rsidP="00CE3721">
      <w:pPr>
        <w:bidi/>
        <w:rPr>
          <w:color w:val="4F6228" w:themeColor="accent3" w:themeShade="80"/>
          <w:rtl/>
        </w:rPr>
      </w:pPr>
      <w:r>
        <w:rPr>
          <w:b/>
          <w:bCs/>
          <w:color w:val="4F6228" w:themeColor="accent3" w:themeShade="80"/>
          <w:rtl/>
        </w:rPr>
        <w:t>2</w:t>
      </w:r>
      <w:r>
        <w:rPr>
          <w:b/>
          <w:bCs/>
          <w:color w:val="4F6228" w:themeColor="accent3" w:themeShade="80"/>
          <w:sz w:val="24"/>
          <w:szCs w:val="24"/>
          <w:rtl/>
        </w:rPr>
        <w:t>-مواصفات المستشار:</w:t>
      </w:r>
    </w:p>
    <w:p w:rsidR="00CE3721" w:rsidRDefault="00CE3721" w:rsidP="00CE3721">
      <w:pPr>
        <w:bidi/>
        <w:rPr>
          <w:b/>
          <w:bCs/>
        </w:rPr>
      </w:pPr>
      <w:r>
        <w:rPr>
          <w:b/>
          <w:bCs/>
          <w:rtl/>
        </w:rPr>
        <w:t>قد يكون المستشار بيت خبرة (منظمة) أو فردا يتمتع بمواصفات مخصوصة، ومن أهم شروط نجاحه:</w:t>
      </w:r>
    </w:p>
    <w:p w:rsidR="00CE3721" w:rsidRDefault="00CE3721" w:rsidP="00CE3721">
      <w:pPr>
        <w:numPr>
          <w:ilvl w:val="0"/>
          <w:numId w:val="1"/>
        </w:numPr>
        <w:bidi/>
        <w:ind w:left="1440"/>
        <w:rPr>
          <w:b/>
          <w:bCs/>
          <w:rtl/>
        </w:rPr>
      </w:pPr>
      <w:r>
        <w:rPr>
          <w:b/>
          <w:bCs/>
          <w:rtl/>
        </w:rPr>
        <w:t>الخبرة الكافية؛</w:t>
      </w:r>
    </w:p>
    <w:p w:rsidR="00CE3721" w:rsidRDefault="00CE3721" w:rsidP="00CE3721">
      <w:pPr>
        <w:numPr>
          <w:ilvl w:val="0"/>
          <w:numId w:val="1"/>
        </w:numPr>
        <w:bidi/>
        <w:ind w:left="1440"/>
        <w:rPr>
          <w:b/>
          <w:bCs/>
          <w:rtl/>
        </w:rPr>
      </w:pPr>
      <w:r>
        <w:rPr>
          <w:b/>
          <w:bCs/>
          <w:rtl/>
        </w:rPr>
        <w:t>الحياد وعدم التحيز؛</w:t>
      </w:r>
    </w:p>
    <w:p w:rsidR="00CE3721" w:rsidRDefault="00CE3721" w:rsidP="00CE3721">
      <w:pPr>
        <w:numPr>
          <w:ilvl w:val="0"/>
          <w:numId w:val="1"/>
        </w:numPr>
        <w:bidi/>
        <w:ind w:left="1440"/>
        <w:rPr>
          <w:b/>
          <w:bCs/>
          <w:rtl/>
        </w:rPr>
      </w:pPr>
      <w:r>
        <w:rPr>
          <w:b/>
          <w:bCs/>
          <w:rtl/>
        </w:rPr>
        <w:t xml:space="preserve">تمتعه بالوقت والاستعداد الكامل للإدلاء بكل ما لديه من معلومات وإرشادات؛ </w:t>
      </w:r>
    </w:p>
    <w:p w:rsidR="00CE3721" w:rsidRDefault="00CE3721" w:rsidP="00CE3721">
      <w:pPr>
        <w:numPr>
          <w:ilvl w:val="0"/>
          <w:numId w:val="1"/>
        </w:numPr>
        <w:bidi/>
        <w:ind w:left="1440"/>
        <w:rPr>
          <w:b/>
          <w:bCs/>
          <w:rtl/>
        </w:rPr>
      </w:pPr>
      <w:r>
        <w:rPr>
          <w:b/>
          <w:bCs/>
          <w:rtl/>
        </w:rPr>
        <w:t xml:space="preserve">التكلفة الأقل مقارنة </w:t>
      </w:r>
      <w:proofErr w:type="spellStart"/>
      <w:r>
        <w:rPr>
          <w:b/>
          <w:bCs/>
          <w:rtl/>
        </w:rPr>
        <w:t>بالوفورات</w:t>
      </w:r>
      <w:proofErr w:type="spellEnd"/>
      <w:r>
        <w:rPr>
          <w:b/>
          <w:bCs/>
          <w:rtl/>
        </w:rPr>
        <w:t xml:space="preserve"> المتحققة جراء اللجوء إليه (الكلفة/المنفعة).</w:t>
      </w:r>
    </w:p>
    <w:p w:rsidR="00CE3721" w:rsidRDefault="00CE3721" w:rsidP="00CE3721">
      <w:pPr>
        <w:bidi/>
      </w:pPr>
      <w:r>
        <w:rPr>
          <w:b/>
          <w:bCs/>
          <w:color w:val="4F6228" w:themeColor="accent3" w:themeShade="80"/>
          <w:rtl/>
        </w:rPr>
        <w:t>3</w:t>
      </w:r>
      <w:r>
        <w:rPr>
          <w:b/>
          <w:bCs/>
          <w:color w:val="4F6228" w:themeColor="accent3" w:themeShade="80"/>
          <w:sz w:val="24"/>
          <w:szCs w:val="24"/>
          <w:rtl/>
        </w:rPr>
        <w:t>-نطاق مهام المستشار ودوره</w:t>
      </w:r>
      <w:r>
        <w:rPr>
          <w:b/>
          <w:bCs/>
          <w:sz w:val="24"/>
          <w:szCs w:val="24"/>
          <w:rtl/>
        </w:rPr>
        <w:t>:</w:t>
      </w:r>
    </w:p>
    <w:p w:rsidR="00CE3721" w:rsidRDefault="00CE3721" w:rsidP="00CE3721">
      <w:pPr>
        <w:bidi/>
        <w:rPr>
          <w:b/>
          <w:bCs/>
        </w:rPr>
      </w:pPr>
      <w:r>
        <w:rPr>
          <w:b/>
          <w:bCs/>
          <w:rtl/>
        </w:rPr>
        <w:t>سبق وأن أكدنا على الدور الاستشاري للمستشار، فهو يقدم خدمات محددة ولكنه لا يقوم بعملية التفاوض الفعلية. ولكي يقوم بمهامه على الوجه الصحيح فهو يلجأ إلى أساليب متعددة تشتمل على:</w:t>
      </w:r>
    </w:p>
    <w:p w:rsidR="00CE3721" w:rsidRDefault="00CE3721" w:rsidP="00CE3721">
      <w:pPr>
        <w:numPr>
          <w:ilvl w:val="0"/>
          <w:numId w:val="2"/>
        </w:numPr>
        <w:bidi/>
        <w:rPr>
          <w:b/>
          <w:bCs/>
          <w:color w:val="002060"/>
          <w:sz w:val="28"/>
          <w:szCs w:val="28"/>
          <w:rtl/>
        </w:rPr>
      </w:pPr>
      <w:r>
        <w:rPr>
          <w:b/>
          <w:bCs/>
          <w:color w:val="002060"/>
          <w:sz w:val="28"/>
          <w:szCs w:val="28"/>
          <w:rtl/>
        </w:rPr>
        <w:t>تحديد مصادر تعظيم المكاسب لطرفي النزاع:</w:t>
      </w:r>
    </w:p>
    <w:p w:rsidR="00CE3721" w:rsidRDefault="00CE3721" w:rsidP="00CE3721">
      <w:pPr>
        <w:bidi/>
        <w:rPr>
          <w:b/>
          <w:bCs/>
          <w:rtl/>
        </w:rPr>
      </w:pPr>
      <w:r>
        <w:rPr>
          <w:b/>
          <w:bCs/>
          <w:rtl/>
        </w:rPr>
        <w:t xml:space="preserve"> وذلك بتحديد:</w:t>
      </w:r>
    </w:p>
    <w:p w:rsidR="00CE3721" w:rsidRDefault="00CE3721" w:rsidP="00CE3721">
      <w:pPr>
        <w:numPr>
          <w:ilvl w:val="0"/>
          <w:numId w:val="3"/>
        </w:numPr>
        <w:bidi/>
        <w:rPr>
          <w:b/>
          <w:bCs/>
          <w:rtl/>
        </w:rPr>
      </w:pPr>
      <w:r>
        <w:rPr>
          <w:b/>
          <w:bCs/>
          <w:rtl/>
        </w:rPr>
        <w:t xml:space="preserve"> الفروق ونواحي الاختلاف، في الأهداف والتوجهات والوسائل؛</w:t>
      </w:r>
    </w:p>
    <w:p w:rsidR="00CE3721" w:rsidRDefault="00CE3721" w:rsidP="00CE3721">
      <w:pPr>
        <w:numPr>
          <w:ilvl w:val="0"/>
          <w:numId w:val="3"/>
        </w:numPr>
        <w:bidi/>
        <w:rPr>
          <w:b/>
          <w:bCs/>
          <w:rtl/>
        </w:rPr>
      </w:pPr>
      <w:r>
        <w:rPr>
          <w:b/>
          <w:bCs/>
          <w:rtl/>
        </w:rPr>
        <w:t>المصالح المشتركة للطرفين؛</w:t>
      </w:r>
    </w:p>
    <w:p w:rsidR="00CE3721" w:rsidRDefault="00CE3721" w:rsidP="00CE3721">
      <w:pPr>
        <w:numPr>
          <w:ilvl w:val="0"/>
          <w:numId w:val="3"/>
        </w:numPr>
        <w:bidi/>
        <w:rPr>
          <w:b/>
          <w:bCs/>
          <w:rtl/>
        </w:rPr>
      </w:pPr>
      <w:proofErr w:type="spellStart"/>
      <w:r>
        <w:rPr>
          <w:b/>
          <w:bCs/>
          <w:rtl/>
        </w:rPr>
        <w:t>الوفورات</w:t>
      </w:r>
      <w:proofErr w:type="spellEnd"/>
      <w:r>
        <w:rPr>
          <w:b/>
          <w:bCs/>
          <w:rtl/>
        </w:rPr>
        <w:t xml:space="preserve"> الممكنة للحجم والعدد من خلال البدائل المتاحة وبما في ذلك توزيع المخاطر والأعباء.</w:t>
      </w:r>
    </w:p>
    <w:p w:rsidR="00CE3721" w:rsidRDefault="00CE3721" w:rsidP="00CE3721">
      <w:pPr>
        <w:bidi/>
        <w:ind w:left="360"/>
        <w:rPr>
          <w:b/>
          <w:bCs/>
          <w:color w:val="002060"/>
          <w:sz w:val="28"/>
          <w:szCs w:val="28"/>
          <w:rtl/>
        </w:rPr>
      </w:pPr>
      <w:r>
        <w:rPr>
          <w:b/>
          <w:bCs/>
          <w:color w:val="002060"/>
          <w:sz w:val="28"/>
          <w:szCs w:val="28"/>
          <w:rtl/>
        </w:rPr>
        <w:t>ب - تحديد الصور التعاقدية المناسبة:</w:t>
      </w:r>
    </w:p>
    <w:p w:rsidR="00CE3721" w:rsidRDefault="00CE3721" w:rsidP="00CE3721">
      <w:pPr>
        <w:numPr>
          <w:ilvl w:val="0"/>
          <w:numId w:val="3"/>
        </w:numPr>
        <w:bidi/>
        <w:rPr>
          <w:b/>
          <w:bCs/>
        </w:rPr>
      </w:pPr>
      <w:r>
        <w:rPr>
          <w:b/>
          <w:bCs/>
          <w:rtl/>
        </w:rPr>
        <w:t xml:space="preserve"> وذلك لكل نوع من الفروق والاختلافات في القضايا </w:t>
      </w:r>
      <w:proofErr w:type="spellStart"/>
      <w:r>
        <w:rPr>
          <w:b/>
          <w:bCs/>
          <w:rtl/>
        </w:rPr>
        <w:t>النزاعية</w:t>
      </w:r>
      <w:proofErr w:type="spellEnd"/>
      <w:r>
        <w:rPr>
          <w:b/>
          <w:bCs/>
          <w:rtl/>
        </w:rPr>
        <w:t>، بحيث يقوم المحلل هنا بتحديد أكبر عدد ممكن من البدائل المناسبة لتوسيع مجال الاختيار للطرف المتفاوض.</w:t>
      </w:r>
    </w:p>
    <w:p w:rsidR="00CE3721" w:rsidRDefault="00CE3721" w:rsidP="00CE3721">
      <w:pPr>
        <w:bidi/>
        <w:ind w:left="360"/>
        <w:rPr>
          <w:b/>
          <w:bCs/>
          <w:color w:val="002060"/>
          <w:sz w:val="28"/>
          <w:szCs w:val="28"/>
          <w:rtl/>
        </w:rPr>
      </w:pPr>
      <w:r>
        <w:rPr>
          <w:b/>
          <w:bCs/>
          <w:color w:val="002060"/>
          <w:sz w:val="28"/>
          <w:szCs w:val="28"/>
          <w:rtl/>
        </w:rPr>
        <w:t>ج - تقييم البدائل المختلفة وتحديد قيم المنافع الصافية لكل طرف:</w:t>
      </w:r>
    </w:p>
    <w:p w:rsidR="00CE3721" w:rsidRDefault="00CE3721" w:rsidP="00CE3721">
      <w:pPr>
        <w:numPr>
          <w:ilvl w:val="0"/>
          <w:numId w:val="3"/>
        </w:numPr>
        <w:bidi/>
        <w:rPr>
          <w:b/>
          <w:bCs/>
          <w:rtl/>
        </w:rPr>
      </w:pPr>
      <w:r>
        <w:rPr>
          <w:b/>
          <w:bCs/>
          <w:rtl/>
        </w:rPr>
        <w:t>عادة ما تشتمل هذه المرحلة على التقييم الدفيق والحسابات الرقمية لكل بديل من البدائل المطروحة.</w:t>
      </w:r>
    </w:p>
    <w:p w:rsidR="00CE3721" w:rsidRDefault="00CE3721" w:rsidP="00CE3721">
      <w:pPr>
        <w:bidi/>
        <w:rPr>
          <w:b/>
          <w:bCs/>
          <w:color w:val="002060"/>
          <w:sz w:val="28"/>
          <w:szCs w:val="28"/>
          <w:rtl/>
        </w:rPr>
      </w:pPr>
      <w:r>
        <w:rPr>
          <w:b/>
          <w:bCs/>
          <w:color w:val="002060"/>
          <w:sz w:val="28"/>
          <w:szCs w:val="28"/>
          <w:rtl/>
        </w:rPr>
        <w:t xml:space="preserve">      د - خلق قيم إضافية والمطالبة بقيم ومكاسب أخرى من الخصم:</w:t>
      </w:r>
    </w:p>
    <w:p w:rsidR="00CE3721" w:rsidRDefault="00CE3721" w:rsidP="00CE3721">
      <w:pPr>
        <w:bidi/>
        <w:rPr>
          <w:b/>
          <w:bCs/>
        </w:rPr>
      </w:pPr>
      <w:r>
        <w:rPr>
          <w:b/>
          <w:bCs/>
          <w:rtl/>
        </w:rPr>
        <w:t>للمحلل دور أساسي في خلق قيم إضافية للطرف المفاوض وفي ترشيده في طلب مكاسب من خصمه، لتعظيم مكاسبه الصافية من الصفقة. ويقوم بذلك من خلال:</w:t>
      </w:r>
    </w:p>
    <w:p w:rsidR="00CE3721" w:rsidRDefault="00CE3721" w:rsidP="00CE3721">
      <w:pPr>
        <w:numPr>
          <w:ilvl w:val="0"/>
          <w:numId w:val="4"/>
        </w:numPr>
        <w:bidi/>
        <w:rPr>
          <w:b/>
          <w:bCs/>
          <w:rtl/>
        </w:rPr>
      </w:pPr>
      <w:r>
        <w:rPr>
          <w:b/>
          <w:bCs/>
          <w:rtl/>
        </w:rPr>
        <w:lastRenderedPageBreak/>
        <w:t>إيضاح بدائل عدم التوصل إلى اتفاق؛</w:t>
      </w:r>
    </w:p>
    <w:p w:rsidR="00CE3721" w:rsidRDefault="00CE3721" w:rsidP="00CE3721">
      <w:pPr>
        <w:numPr>
          <w:ilvl w:val="0"/>
          <w:numId w:val="4"/>
        </w:numPr>
        <w:bidi/>
        <w:rPr>
          <w:b/>
          <w:bCs/>
          <w:rtl/>
        </w:rPr>
      </w:pPr>
      <w:r>
        <w:rPr>
          <w:b/>
          <w:bCs/>
          <w:rtl/>
        </w:rPr>
        <w:t>تقييم خصائص كل الأطراف المتفاوضة واتجاهاتها، وهو ما يحدد نطاق المساومة الذي يمكن التحرك فيه، وبالتالي تحديد التكتيكات المناسبة لنجاح المفاوضات؛</w:t>
      </w:r>
    </w:p>
    <w:p w:rsidR="00CE3721" w:rsidRDefault="00CE3721" w:rsidP="00CE3721">
      <w:pPr>
        <w:bidi/>
        <w:ind w:left="360"/>
        <w:rPr>
          <w:b/>
          <w:bCs/>
          <w:color w:val="17365D" w:themeColor="text2" w:themeShade="BF"/>
          <w:sz w:val="28"/>
          <w:szCs w:val="28"/>
          <w:rtl/>
        </w:rPr>
      </w:pPr>
      <w:r>
        <w:rPr>
          <w:b/>
          <w:bCs/>
          <w:color w:val="17365D" w:themeColor="text2" w:themeShade="BF"/>
          <w:sz w:val="28"/>
          <w:szCs w:val="28"/>
          <w:rtl/>
        </w:rPr>
        <w:t>ه - تحديد وتحليل خصائص الموقف التفاوضي الراهن:</w:t>
      </w:r>
    </w:p>
    <w:p w:rsidR="00CE3721" w:rsidRDefault="00CE3721" w:rsidP="00CE3721">
      <w:pPr>
        <w:bidi/>
        <w:rPr>
          <w:b/>
          <w:bCs/>
        </w:rPr>
      </w:pPr>
      <w:r>
        <w:rPr>
          <w:b/>
          <w:bCs/>
          <w:highlight w:val="yellow"/>
          <w:rtl/>
        </w:rPr>
        <w:t>أي تحديد معالم الصورة القائمة للموقف التفاوضي الجاري، ويشمل ذلك:</w:t>
      </w:r>
    </w:p>
    <w:p w:rsidR="00CE3721" w:rsidRDefault="00CE3721" w:rsidP="00CE3721">
      <w:pPr>
        <w:numPr>
          <w:ilvl w:val="0"/>
          <w:numId w:val="5"/>
        </w:numPr>
        <w:bidi/>
        <w:ind w:left="1440"/>
        <w:rPr>
          <w:b/>
          <w:bCs/>
          <w:rtl/>
        </w:rPr>
      </w:pPr>
      <w:r>
        <w:rPr>
          <w:b/>
          <w:bCs/>
          <w:rtl/>
        </w:rPr>
        <w:t>الأطراف المتفاوضة والتي سبق مناقشتها أعلاه؛</w:t>
      </w:r>
    </w:p>
    <w:p w:rsidR="00CE3721" w:rsidRDefault="00CE3721" w:rsidP="00CE3721">
      <w:pPr>
        <w:numPr>
          <w:ilvl w:val="0"/>
          <w:numId w:val="5"/>
        </w:numPr>
        <w:bidi/>
        <w:ind w:left="1440"/>
        <w:rPr>
          <w:b/>
          <w:bCs/>
          <w:rtl/>
        </w:rPr>
      </w:pPr>
      <w:r>
        <w:rPr>
          <w:b/>
          <w:bCs/>
          <w:rtl/>
        </w:rPr>
        <w:t>المنافع الخاصة بكل طرف؛</w:t>
      </w:r>
    </w:p>
    <w:p w:rsidR="00CE3721" w:rsidRDefault="00CE3721" w:rsidP="00CE3721">
      <w:pPr>
        <w:numPr>
          <w:ilvl w:val="0"/>
          <w:numId w:val="5"/>
        </w:numPr>
        <w:bidi/>
        <w:ind w:left="1440"/>
        <w:rPr>
          <w:b/>
          <w:bCs/>
          <w:rtl/>
        </w:rPr>
      </w:pPr>
      <w:r>
        <w:rPr>
          <w:b/>
          <w:bCs/>
          <w:rtl/>
        </w:rPr>
        <w:t>المصالح والمكاسب والأغراض؛</w:t>
      </w:r>
    </w:p>
    <w:p w:rsidR="00CE3721" w:rsidRDefault="00CE3721" w:rsidP="00CE3721">
      <w:pPr>
        <w:numPr>
          <w:ilvl w:val="0"/>
          <w:numId w:val="5"/>
        </w:numPr>
        <w:bidi/>
        <w:ind w:left="1440"/>
        <w:rPr>
          <w:b/>
          <w:bCs/>
          <w:rtl/>
        </w:rPr>
      </w:pPr>
      <w:r>
        <w:rPr>
          <w:b/>
          <w:bCs/>
          <w:rtl/>
        </w:rPr>
        <w:t>القضايا ومكوناتها وأبعادها.</w:t>
      </w:r>
    </w:p>
    <w:p w:rsidR="00CE3721" w:rsidRDefault="00CE3721" w:rsidP="00CE3721">
      <w:pPr>
        <w:bidi/>
        <w:rPr>
          <w:b/>
          <w:bCs/>
          <w:rtl/>
        </w:rPr>
      </w:pPr>
      <w:r>
        <w:rPr>
          <w:b/>
          <w:bCs/>
          <w:highlight w:val="yellow"/>
          <w:rtl/>
        </w:rPr>
        <w:t>بناء على ذلك يتم تحليل كافة عناصر الموقف التفاوضي الراهن وذلك بما يضمن:</w:t>
      </w:r>
    </w:p>
    <w:p w:rsidR="00CE3721" w:rsidRDefault="00CE3721" w:rsidP="00CE3721">
      <w:pPr>
        <w:numPr>
          <w:ilvl w:val="0"/>
          <w:numId w:val="6"/>
        </w:numPr>
        <w:bidi/>
        <w:rPr>
          <w:b/>
          <w:bCs/>
        </w:rPr>
      </w:pPr>
      <w:r>
        <w:rPr>
          <w:b/>
          <w:bCs/>
          <w:rtl/>
        </w:rPr>
        <w:t>تحديد العلاقة بين القضايا والمصالح؛</w:t>
      </w:r>
    </w:p>
    <w:p w:rsidR="00CE3721" w:rsidRDefault="00CE3721" w:rsidP="00CE3721">
      <w:pPr>
        <w:numPr>
          <w:ilvl w:val="0"/>
          <w:numId w:val="6"/>
        </w:numPr>
        <w:bidi/>
        <w:rPr>
          <w:b/>
          <w:bCs/>
          <w:rtl/>
        </w:rPr>
      </w:pPr>
      <w:r>
        <w:rPr>
          <w:b/>
          <w:bCs/>
          <w:rtl/>
        </w:rPr>
        <w:t>تحديد البدائل الممكنة والمنافع المتوقعة من كل بديل ولكل طرف؛</w:t>
      </w:r>
    </w:p>
    <w:p w:rsidR="00CE3721" w:rsidRDefault="00CE3721" w:rsidP="00CE3721">
      <w:pPr>
        <w:numPr>
          <w:ilvl w:val="0"/>
          <w:numId w:val="6"/>
        </w:numPr>
        <w:bidi/>
        <w:rPr>
          <w:b/>
          <w:bCs/>
          <w:rtl/>
        </w:rPr>
      </w:pPr>
      <w:r>
        <w:rPr>
          <w:b/>
          <w:bCs/>
          <w:rtl/>
        </w:rPr>
        <w:t>تعظيم المكاسب المحققة من خلال: المزيد من المعلومات عن كل طرف، ونواحي الاختلاف والمصالح البينية المشتركة.</w:t>
      </w:r>
    </w:p>
    <w:p w:rsidR="00CE3721" w:rsidRDefault="00CE3721" w:rsidP="00CE3721">
      <w:pPr>
        <w:bidi/>
        <w:rPr>
          <w:b/>
          <w:bCs/>
          <w:rtl/>
        </w:rPr>
      </w:pPr>
      <w:r>
        <w:rPr>
          <w:b/>
          <w:bCs/>
          <w:rtl/>
        </w:rPr>
        <w:t>علما أنه عادة ما يتم خلق مكاسب إضافية بتحركات وتكتيكات تعاونية، كما يمكن الادعاء والمطالبة بمكاسب إضافية عن طريق التحركات التنافسية؛</w:t>
      </w:r>
      <w:r>
        <w:rPr>
          <w:rFonts w:hint="cs"/>
          <w:b/>
          <w:bCs/>
          <w:rtl/>
        </w:rPr>
        <w:t xml:space="preserve"> </w:t>
      </w:r>
      <w:r>
        <w:rPr>
          <w:b/>
          <w:bCs/>
          <w:rtl/>
        </w:rPr>
        <w:t>ومع اختلاف وتعارض التكتيكات والاستراتيجيات اللازمة لكل حالة، فإنه يكون للمستشار دور رئيسي في تحديد كيف ومتى وبأية صورة أو درجة يتم ممارسة كل تلك التكتيكات.</w:t>
      </w:r>
    </w:p>
    <w:p w:rsidR="00CE3721" w:rsidRDefault="00CE3721" w:rsidP="00CE3721">
      <w:pPr>
        <w:shd w:val="clear" w:color="auto" w:fill="92D050"/>
        <w:jc w:val="center"/>
        <w:rPr>
          <w:b/>
          <w:bCs/>
          <w:color w:val="000000" w:themeColor="text1"/>
          <w:sz w:val="24"/>
          <w:szCs w:val="24"/>
          <w:rtl/>
        </w:rPr>
      </w:pPr>
      <w:r>
        <w:rPr>
          <w:b/>
          <w:bCs/>
          <w:color w:val="000000" w:themeColor="text1"/>
          <w:sz w:val="24"/>
          <w:szCs w:val="24"/>
          <w:rtl/>
        </w:rPr>
        <w:t>نهاية المحاضرة 9</w:t>
      </w:r>
      <w:r>
        <w:rPr>
          <w:rFonts w:hint="cs"/>
          <w:b/>
          <w:bCs/>
          <w:color w:val="000000" w:themeColor="text1"/>
          <w:sz w:val="24"/>
          <w:szCs w:val="24"/>
          <w:rtl/>
        </w:rPr>
        <w:t xml:space="preserve"> </w:t>
      </w:r>
    </w:p>
    <w:p w:rsidR="00D85B00" w:rsidRDefault="00D85B00">
      <w:pPr>
        <w:rPr>
          <w:rFonts w:hint="cs"/>
        </w:rPr>
      </w:pPr>
      <w:bookmarkStart w:id="0" w:name="_GoBack"/>
      <w:bookmarkEnd w:id="0"/>
    </w:p>
    <w:sectPr w:rsidR="00D85B00" w:rsidSect="00DC4844">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6619EE"/>
    <w:multiLevelType w:val="hybridMultilevel"/>
    <w:tmpl w:val="E75E9340"/>
    <w:lvl w:ilvl="0" w:tplc="75E65A36">
      <w:start w:val="1"/>
      <w:numFmt w:val="bullet"/>
      <w:lvlText w:val="•"/>
      <w:lvlJc w:val="left"/>
      <w:pPr>
        <w:tabs>
          <w:tab w:val="num" w:pos="720"/>
        </w:tabs>
        <w:ind w:left="720" w:hanging="360"/>
      </w:pPr>
      <w:rPr>
        <w:rFonts w:ascii="Arial" w:hAnsi="Arial" w:cs="Times New Roman" w:hint="default"/>
      </w:rPr>
    </w:lvl>
    <w:lvl w:ilvl="1" w:tplc="3BBC082A">
      <w:start w:val="1"/>
      <w:numFmt w:val="bullet"/>
      <w:lvlText w:val="•"/>
      <w:lvlJc w:val="left"/>
      <w:pPr>
        <w:tabs>
          <w:tab w:val="num" w:pos="1440"/>
        </w:tabs>
        <w:ind w:left="1440" w:hanging="360"/>
      </w:pPr>
      <w:rPr>
        <w:rFonts w:ascii="Arial" w:hAnsi="Arial" w:cs="Times New Roman" w:hint="default"/>
      </w:rPr>
    </w:lvl>
    <w:lvl w:ilvl="2" w:tplc="7F36988A">
      <w:start w:val="1"/>
      <w:numFmt w:val="bullet"/>
      <w:lvlText w:val="•"/>
      <w:lvlJc w:val="left"/>
      <w:pPr>
        <w:tabs>
          <w:tab w:val="num" w:pos="2160"/>
        </w:tabs>
        <w:ind w:left="2160" w:hanging="360"/>
      </w:pPr>
      <w:rPr>
        <w:rFonts w:ascii="Arial" w:hAnsi="Arial" w:cs="Times New Roman" w:hint="default"/>
      </w:rPr>
    </w:lvl>
    <w:lvl w:ilvl="3" w:tplc="5E1016FA">
      <w:start w:val="1"/>
      <w:numFmt w:val="bullet"/>
      <w:lvlText w:val="•"/>
      <w:lvlJc w:val="left"/>
      <w:pPr>
        <w:tabs>
          <w:tab w:val="num" w:pos="2880"/>
        </w:tabs>
        <w:ind w:left="2880" w:hanging="360"/>
      </w:pPr>
      <w:rPr>
        <w:rFonts w:ascii="Arial" w:hAnsi="Arial" w:cs="Times New Roman" w:hint="default"/>
      </w:rPr>
    </w:lvl>
    <w:lvl w:ilvl="4" w:tplc="F4C6F474">
      <w:start w:val="1"/>
      <w:numFmt w:val="bullet"/>
      <w:lvlText w:val="•"/>
      <w:lvlJc w:val="left"/>
      <w:pPr>
        <w:tabs>
          <w:tab w:val="num" w:pos="3600"/>
        </w:tabs>
        <w:ind w:left="3600" w:hanging="360"/>
      </w:pPr>
      <w:rPr>
        <w:rFonts w:ascii="Arial" w:hAnsi="Arial" w:cs="Times New Roman" w:hint="default"/>
      </w:rPr>
    </w:lvl>
    <w:lvl w:ilvl="5" w:tplc="B2C4BA56">
      <w:start w:val="1"/>
      <w:numFmt w:val="bullet"/>
      <w:lvlText w:val="•"/>
      <w:lvlJc w:val="left"/>
      <w:pPr>
        <w:tabs>
          <w:tab w:val="num" w:pos="4320"/>
        </w:tabs>
        <w:ind w:left="4320" w:hanging="360"/>
      </w:pPr>
      <w:rPr>
        <w:rFonts w:ascii="Arial" w:hAnsi="Arial" w:cs="Times New Roman" w:hint="default"/>
      </w:rPr>
    </w:lvl>
    <w:lvl w:ilvl="6" w:tplc="E672644C">
      <w:start w:val="1"/>
      <w:numFmt w:val="bullet"/>
      <w:lvlText w:val="•"/>
      <w:lvlJc w:val="left"/>
      <w:pPr>
        <w:tabs>
          <w:tab w:val="num" w:pos="5040"/>
        </w:tabs>
        <w:ind w:left="5040" w:hanging="360"/>
      </w:pPr>
      <w:rPr>
        <w:rFonts w:ascii="Arial" w:hAnsi="Arial" w:cs="Times New Roman" w:hint="default"/>
      </w:rPr>
    </w:lvl>
    <w:lvl w:ilvl="7" w:tplc="111A6DD8">
      <w:start w:val="1"/>
      <w:numFmt w:val="bullet"/>
      <w:lvlText w:val="•"/>
      <w:lvlJc w:val="left"/>
      <w:pPr>
        <w:tabs>
          <w:tab w:val="num" w:pos="5760"/>
        </w:tabs>
        <w:ind w:left="5760" w:hanging="360"/>
      </w:pPr>
      <w:rPr>
        <w:rFonts w:ascii="Arial" w:hAnsi="Arial" w:cs="Times New Roman" w:hint="default"/>
      </w:rPr>
    </w:lvl>
    <w:lvl w:ilvl="8" w:tplc="68421CD8">
      <w:start w:val="1"/>
      <w:numFmt w:val="bullet"/>
      <w:lvlText w:val="•"/>
      <w:lvlJc w:val="left"/>
      <w:pPr>
        <w:tabs>
          <w:tab w:val="num" w:pos="6480"/>
        </w:tabs>
        <w:ind w:left="6480" w:hanging="360"/>
      </w:pPr>
      <w:rPr>
        <w:rFonts w:ascii="Arial" w:hAnsi="Arial" w:cs="Times New Roman" w:hint="default"/>
      </w:rPr>
    </w:lvl>
  </w:abstractNum>
  <w:abstractNum w:abstractNumId="1">
    <w:nsid w:val="1E805DC8"/>
    <w:multiLevelType w:val="hybridMultilevel"/>
    <w:tmpl w:val="38BAC882"/>
    <w:lvl w:ilvl="0" w:tplc="CC60150A">
      <w:start w:val="1"/>
      <w:numFmt w:val="arabicAlpha"/>
      <w:lvlText w:val="%1-"/>
      <w:lvlJc w:val="left"/>
      <w:pPr>
        <w:tabs>
          <w:tab w:val="num" w:pos="720"/>
        </w:tabs>
        <w:ind w:left="720" w:hanging="360"/>
      </w:pPr>
    </w:lvl>
    <w:lvl w:ilvl="1" w:tplc="9F367212">
      <w:start w:val="1"/>
      <w:numFmt w:val="arabicAlpha"/>
      <w:lvlText w:val="%2-"/>
      <w:lvlJc w:val="left"/>
      <w:pPr>
        <w:tabs>
          <w:tab w:val="num" w:pos="1440"/>
        </w:tabs>
        <w:ind w:left="1440" w:hanging="360"/>
      </w:pPr>
    </w:lvl>
    <w:lvl w:ilvl="2" w:tplc="81C4AFAE">
      <w:start w:val="1"/>
      <w:numFmt w:val="arabicAlpha"/>
      <w:lvlText w:val="%3-"/>
      <w:lvlJc w:val="left"/>
      <w:pPr>
        <w:tabs>
          <w:tab w:val="num" w:pos="2160"/>
        </w:tabs>
        <w:ind w:left="2160" w:hanging="360"/>
      </w:pPr>
    </w:lvl>
    <w:lvl w:ilvl="3" w:tplc="2B34F012">
      <w:start w:val="1"/>
      <w:numFmt w:val="arabicAlpha"/>
      <w:lvlText w:val="%4-"/>
      <w:lvlJc w:val="left"/>
      <w:pPr>
        <w:tabs>
          <w:tab w:val="num" w:pos="2880"/>
        </w:tabs>
        <w:ind w:left="2880" w:hanging="360"/>
      </w:pPr>
    </w:lvl>
    <w:lvl w:ilvl="4" w:tplc="88B298A2">
      <w:start w:val="1"/>
      <w:numFmt w:val="arabicAlpha"/>
      <w:lvlText w:val="%5-"/>
      <w:lvlJc w:val="left"/>
      <w:pPr>
        <w:tabs>
          <w:tab w:val="num" w:pos="3600"/>
        </w:tabs>
        <w:ind w:left="3600" w:hanging="360"/>
      </w:pPr>
    </w:lvl>
    <w:lvl w:ilvl="5" w:tplc="212CD920">
      <w:start w:val="1"/>
      <w:numFmt w:val="arabicAlpha"/>
      <w:lvlText w:val="%6-"/>
      <w:lvlJc w:val="left"/>
      <w:pPr>
        <w:tabs>
          <w:tab w:val="num" w:pos="4320"/>
        </w:tabs>
        <w:ind w:left="4320" w:hanging="360"/>
      </w:pPr>
    </w:lvl>
    <w:lvl w:ilvl="6" w:tplc="44CEDDE0">
      <w:start w:val="1"/>
      <w:numFmt w:val="arabicAlpha"/>
      <w:lvlText w:val="%7-"/>
      <w:lvlJc w:val="left"/>
      <w:pPr>
        <w:tabs>
          <w:tab w:val="num" w:pos="5040"/>
        </w:tabs>
        <w:ind w:left="5040" w:hanging="360"/>
      </w:pPr>
    </w:lvl>
    <w:lvl w:ilvl="7" w:tplc="6FD01874">
      <w:start w:val="1"/>
      <w:numFmt w:val="arabicAlpha"/>
      <w:lvlText w:val="%8-"/>
      <w:lvlJc w:val="left"/>
      <w:pPr>
        <w:tabs>
          <w:tab w:val="num" w:pos="5760"/>
        </w:tabs>
        <w:ind w:left="5760" w:hanging="360"/>
      </w:pPr>
    </w:lvl>
    <w:lvl w:ilvl="8" w:tplc="5D7E3B22">
      <w:start w:val="1"/>
      <w:numFmt w:val="arabicAlpha"/>
      <w:lvlText w:val="%9-"/>
      <w:lvlJc w:val="left"/>
      <w:pPr>
        <w:tabs>
          <w:tab w:val="num" w:pos="6480"/>
        </w:tabs>
        <w:ind w:left="6480" w:hanging="360"/>
      </w:pPr>
    </w:lvl>
  </w:abstractNum>
  <w:abstractNum w:abstractNumId="2">
    <w:nsid w:val="25654385"/>
    <w:multiLevelType w:val="hybridMultilevel"/>
    <w:tmpl w:val="1FB6DE74"/>
    <w:lvl w:ilvl="0" w:tplc="936652EE">
      <w:start w:val="1"/>
      <w:numFmt w:val="bullet"/>
      <w:lvlText w:val=""/>
      <w:lvlJc w:val="left"/>
      <w:pPr>
        <w:tabs>
          <w:tab w:val="num" w:pos="720"/>
        </w:tabs>
        <w:ind w:left="720" w:hanging="360"/>
      </w:pPr>
      <w:rPr>
        <w:rFonts w:ascii="Wingdings" w:hAnsi="Wingdings" w:hint="default"/>
      </w:rPr>
    </w:lvl>
    <w:lvl w:ilvl="1" w:tplc="DFA43702">
      <w:start w:val="1"/>
      <w:numFmt w:val="bullet"/>
      <w:lvlText w:val=""/>
      <w:lvlJc w:val="left"/>
      <w:pPr>
        <w:tabs>
          <w:tab w:val="num" w:pos="1440"/>
        </w:tabs>
        <w:ind w:left="1440" w:hanging="360"/>
      </w:pPr>
      <w:rPr>
        <w:rFonts w:ascii="Wingdings" w:hAnsi="Wingdings" w:hint="default"/>
      </w:rPr>
    </w:lvl>
    <w:lvl w:ilvl="2" w:tplc="9F1A1D54">
      <w:start w:val="1"/>
      <w:numFmt w:val="bullet"/>
      <w:lvlText w:val=""/>
      <w:lvlJc w:val="left"/>
      <w:pPr>
        <w:tabs>
          <w:tab w:val="num" w:pos="2160"/>
        </w:tabs>
        <w:ind w:left="2160" w:hanging="360"/>
      </w:pPr>
      <w:rPr>
        <w:rFonts w:ascii="Wingdings" w:hAnsi="Wingdings" w:hint="default"/>
      </w:rPr>
    </w:lvl>
    <w:lvl w:ilvl="3" w:tplc="771A875A">
      <w:start w:val="1"/>
      <w:numFmt w:val="bullet"/>
      <w:lvlText w:val=""/>
      <w:lvlJc w:val="left"/>
      <w:pPr>
        <w:tabs>
          <w:tab w:val="num" w:pos="2880"/>
        </w:tabs>
        <w:ind w:left="2880" w:hanging="360"/>
      </w:pPr>
      <w:rPr>
        <w:rFonts w:ascii="Wingdings" w:hAnsi="Wingdings" w:hint="default"/>
      </w:rPr>
    </w:lvl>
    <w:lvl w:ilvl="4" w:tplc="02C46D80">
      <w:start w:val="1"/>
      <w:numFmt w:val="bullet"/>
      <w:lvlText w:val=""/>
      <w:lvlJc w:val="left"/>
      <w:pPr>
        <w:tabs>
          <w:tab w:val="num" w:pos="3600"/>
        </w:tabs>
        <w:ind w:left="3600" w:hanging="360"/>
      </w:pPr>
      <w:rPr>
        <w:rFonts w:ascii="Wingdings" w:hAnsi="Wingdings" w:hint="default"/>
      </w:rPr>
    </w:lvl>
    <w:lvl w:ilvl="5" w:tplc="2B641D10">
      <w:start w:val="1"/>
      <w:numFmt w:val="bullet"/>
      <w:lvlText w:val=""/>
      <w:lvlJc w:val="left"/>
      <w:pPr>
        <w:tabs>
          <w:tab w:val="num" w:pos="4320"/>
        </w:tabs>
        <w:ind w:left="4320" w:hanging="360"/>
      </w:pPr>
      <w:rPr>
        <w:rFonts w:ascii="Wingdings" w:hAnsi="Wingdings" w:hint="default"/>
      </w:rPr>
    </w:lvl>
    <w:lvl w:ilvl="6" w:tplc="436CE7BE">
      <w:start w:val="1"/>
      <w:numFmt w:val="bullet"/>
      <w:lvlText w:val=""/>
      <w:lvlJc w:val="left"/>
      <w:pPr>
        <w:tabs>
          <w:tab w:val="num" w:pos="5040"/>
        </w:tabs>
        <w:ind w:left="5040" w:hanging="360"/>
      </w:pPr>
      <w:rPr>
        <w:rFonts w:ascii="Wingdings" w:hAnsi="Wingdings" w:hint="default"/>
      </w:rPr>
    </w:lvl>
    <w:lvl w:ilvl="7" w:tplc="F9FCE794">
      <w:start w:val="1"/>
      <w:numFmt w:val="bullet"/>
      <w:lvlText w:val=""/>
      <w:lvlJc w:val="left"/>
      <w:pPr>
        <w:tabs>
          <w:tab w:val="num" w:pos="5760"/>
        </w:tabs>
        <w:ind w:left="5760" w:hanging="360"/>
      </w:pPr>
      <w:rPr>
        <w:rFonts w:ascii="Wingdings" w:hAnsi="Wingdings" w:hint="default"/>
      </w:rPr>
    </w:lvl>
    <w:lvl w:ilvl="8" w:tplc="B2F864B4">
      <w:start w:val="1"/>
      <w:numFmt w:val="bullet"/>
      <w:lvlText w:val=""/>
      <w:lvlJc w:val="left"/>
      <w:pPr>
        <w:tabs>
          <w:tab w:val="num" w:pos="6480"/>
        </w:tabs>
        <w:ind w:left="6480" w:hanging="360"/>
      </w:pPr>
      <w:rPr>
        <w:rFonts w:ascii="Wingdings" w:hAnsi="Wingdings" w:hint="default"/>
      </w:rPr>
    </w:lvl>
  </w:abstractNum>
  <w:abstractNum w:abstractNumId="3">
    <w:nsid w:val="371A2641"/>
    <w:multiLevelType w:val="hybridMultilevel"/>
    <w:tmpl w:val="A3C8DC86"/>
    <w:lvl w:ilvl="0" w:tplc="C2EEBAC8">
      <w:start w:val="1"/>
      <w:numFmt w:val="bullet"/>
      <w:lvlText w:val=""/>
      <w:lvlJc w:val="left"/>
      <w:pPr>
        <w:tabs>
          <w:tab w:val="num" w:pos="720"/>
        </w:tabs>
        <w:ind w:left="720" w:hanging="360"/>
      </w:pPr>
      <w:rPr>
        <w:rFonts w:ascii="Wingdings" w:hAnsi="Wingdings" w:hint="default"/>
      </w:rPr>
    </w:lvl>
    <w:lvl w:ilvl="1" w:tplc="25EA0336">
      <w:start w:val="1"/>
      <w:numFmt w:val="bullet"/>
      <w:lvlText w:val=""/>
      <w:lvlJc w:val="left"/>
      <w:pPr>
        <w:tabs>
          <w:tab w:val="num" w:pos="1440"/>
        </w:tabs>
        <w:ind w:left="1440" w:hanging="360"/>
      </w:pPr>
      <w:rPr>
        <w:rFonts w:ascii="Wingdings" w:hAnsi="Wingdings" w:hint="default"/>
      </w:rPr>
    </w:lvl>
    <w:lvl w:ilvl="2" w:tplc="806AD1E6">
      <w:start w:val="1"/>
      <w:numFmt w:val="bullet"/>
      <w:lvlText w:val=""/>
      <w:lvlJc w:val="left"/>
      <w:pPr>
        <w:tabs>
          <w:tab w:val="num" w:pos="2160"/>
        </w:tabs>
        <w:ind w:left="2160" w:hanging="360"/>
      </w:pPr>
      <w:rPr>
        <w:rFonts w:ascii="Wingdings" w:hAnsi="Wingdings" w:hint="default"/>
      </w:rPr>
    </w:lvl>
    <w:lvl w:ilvl="3" w:tplc="EADEF9C2">
      <w:start w:val="1"/>
      <w:numFmt w:val="bullet"/>
      <w:lvlText w:val=""/>
      <w:lvlJc w:val="left"/>
      <w:pPr>
        <w:tabs>
          <w:tab w:val="num" w:pos="2880"/>
        </w:tabs>
        <w:ind w:left="2880" w:hanging="360"/>
      </w:pPr>
      <w:rPr>
        <w:rFonts w:ascii="Wingdings" w:hAnsi="Wingdings" w:hint="default"/>
      </w:rPr>
    </w:lvl>
    <w:lvl w:ilvl="4" w:tplc="0AD044DE">
      <w:start w:val="1"/>
      <w:numFmt w:val="bullet"/>
      <w:lvlText w:val=""/>
      <w:lvlJc w:val="left"/>
      <w:pPr>
        <w:tabs>
          <w:tab w:val="num" w:pos="3600"/>
        </w:tabs>
        <w:ind w:left="3600" w:hanging="360"/>
      </w:pPr>
      <w:rPr>
        <w:rFonts w:ascii="Wingdings" w:hAnsi="Wingdings" w:hint="default"/>
      </w:rPr>
    </w:lvl>
    <w:lvl w:ilvl="5" w:tplc="51C8CEFC">
      <w:start w:val="1"/>
      <w:numFmt w:val="bullet"/>
      <w:lvlText w:val=""/>
      <w:lvlJc w:val="left"/>
      <w:pPr>
        <w:tabs>
          <w:tab w:val="num" w:pos="4320"/>
        </w:tabs>
        <w:ind w:left="4320" w:hanging="360"/>
      </w:pPr>
      <w:rPr>
        <w:rFonts w:ascii="Wingdings" w:hAnsi="Wingdings" w:hint="default"/>
      </w:rPr>
    </w:lvl>
    <w:lvl w:ilvl="6" w:tplc="53C8A578">
      <w:start w:val="1"/>
      <w:numFmt w:val="bullet"/>
      <w:lvlText w:val=""/>
      <w:lvlJc w:val="left"/>
      <w:pPr>
        <w:tabs>
          <w:tab w:val="num" w:pos="5040"/>
        </w:tabs>
        <w:ind w:left="5040" w:hanging="360"/>
      </w:pPr>
      <w:rPr>
        <w:rFonts w:ascii="Wingdings" w:hAnsi="Wingdings" w:hint="default"/>
      </w:rPr>
    </w:lvl>
    <w:lvl w:ilvl="7" w:tplc="90D848AA">
      <w:start w:val="1"/>
      <w:numFmt w:val="bullet"/>
      <w:lvlText w:val=""/>
      <w:lvlJc w:val="left"/>
      <w:pPr>
        <w:tabs>
          <w:tab w:val="num" w:pos="5760"/>
        </w:tabs>
        <w:ind w:left="5760" w:hanging="360"/>
      </w:pPr>
      <w:rPr>
        <w:rFonts w:ascii="Wingdings" w:hAnsi="Wingdings" w:hint="default"/>
      </w:rPr>
    </w:lvl>
    <w:lvl w:ilvl="8" w:tplc="0BE4725E">
      <w:start w:val="1"/>
      <w:numFmt w:val="bullet"/>
      <w:lvlText w:val=""/>
      <w:lvlJc w:val="left"/>
      <w:pPr>
        <w:tabs>
          <w:tab w:val="num" w:pos="6480"/>
        </w:tabs>
        <w:ind w:left="6480" w:hanging="360"/>
      </w:pPr>
      <w:rPr>
        <w:rFonts w:ascii="Wingdings" w:hAnsi="Wingdings" w:hint="default"/>
      </w:rPr>
    </w:lvl>
  </w:abstractNum>
  <w:abstractNum w:abstractNumId="4">
    <w:nsid w:val="42D77E77"/>
    <w:multiLevelType w:val="hybridMultilevel"/>
    <w:tmpl w:val="DDE2AFA6"/>
    <w:lvl w:ilvl="0" w:tplc="FB92ACA4">
      <w:start w:val="1"/>
      <w:numFmt w:val="bullet"/>
      <w:lvlText w:val=""/>
      <w:lvlJc w:val="left"/>
      <w:pPr>
        <w:tabs>
          <w:tab w:val="num" w:pos="720"/>
        </w:tabs>
        <w:ind w:left="720" w:hanging="360"/>
      </w:pPr>
      <w:rPr>
        <w:rFonts w:ascii="Wingdings" w:hAnsi="Wingdings" w:hint="default"/>
      </w:rPr>
    </w:lvl>
    <w:lvl w:ilvl="1" w:tplc="B9D81B66">
      <w:start w:val="1"/>
      <w:numFmt w:val="bullet"/>
      <w:lvlText w:val=""/>
      <w:lvlJc w:val="left"/>
      <w:pPr>
        <w:tabs>
          <w:tab w:val="num" w:pos="1440"/>
        </w:tabs>
        <w:ind w:left="1440" w:hanging="360"/>
      </w:pPr>
      <w:rPr>
        <w:rFonts w:ascii="Wingdings" w:hAnsi="Wingdings" w:hint="default"/>
      </w:rPr>
    </w:lvl>
    <w:lvl w:ilvl="2" w:tplc="96DAD47A">
      <w:start w:val="1"/>
      <w:numFmt w:val="bullet"/>
      <w:lvlText w:val=""/>
      <w:lvlJc w:val="left"/>
      <w:pPr>
        <w:tabs>
          <w:tab w:val="num" w:pos="2160"/>
        </w:tabs>
        <w:ind w:left="2160" w:hanging="360"/>
      </w:pPr>
      <w:rPr>
        <w:rFonts w:ascii="Wingdings" w:hAnsi="Wingdings" w:hint="default"/>
      </w:rPr>
    </w:lvl>
    <w:lvl w:ilvl="3" w:tplc="E93E967A">
      <w:start w:val="1"/>
      <w:numFmt w:val="bullet"/>
      <w:lvlText w:val=""/>
      <w:lvlJc w:val="left"/>
      <w:pPr>
        <w:tabs>
          <w:tab w:val="num" w:pos="2880"/>
        </w:tabs>
        <w:ind w:left="2880" w:hanging="360"/>
      </w:pPr>
      <w:rPr>
        <w:rFonts w:ascii="Wingdings" w:hAnsi="Wingdings" w:hint="default"/>
      </w:rPr>
    </w:lvl>
    <w:lvl w:ilvl="4" w:tplc="35F2DCEC">
      <w:start w:val="1"/>
      <w:numFmt w:val="bullet"/>
      <w:lvlText w:val=""/>
      <w:lvlJc w:val="left"/>
      <w:pPr>
        <w:tabs>
          <w:tab w:val="num" w:pos="3600"/>
        </w:tabs>
        <w:ind w:left="3600" w:hanging="360"/>
      </w:pPr>
      <w:rPr>
        <w:rFonts w:ascii="Wingdings" w:hAnsi="Wingdings" w:hint="default"/>
      </w:rPr>
    </w:lvl>
    <w:lvl w:ilvl="5" w:tplc="E7228D68">
      <w:start w:val="1"/>
      <w:numFmt w:val="bullet"/>
      <w:lvlText w:val=""/>
      <w:lvlJc w:val="left"/>
      <w:pPr>
        <w:tabs>
          <w:tab w:val="num" w:pos="4320"/>
        </w:tabs>
        <w:ind w:left="4320" w:hanging="360"/>
      </w:pPr>
      <w:rPr>
        <w:rFonts w:ascii="Wingdings" w:hAnsi="Wingdings" w:hint="default"/>
      </w:rPr>
    </w:lvl>
    <w:lvl w:ilvl="6" w:tplc="6D8E608C">
      <w:start w:val="1"/>
      <w:numFmt w:val="bullet"/>
      <w:lvlText w:val=""/>
      <w:lvlJc w:val="left"/>
      <w:pPr>
        <w:tabs>
          <w:tab w:val="num" w:pos="5040"/>
        </w:tabs>
        <w:ind w:left="5040" w:hanging="360"/>
      </w:pPr>
      <w:rPr>
        <w:rFonts w:ascii="Wingdings" w:hAnsi="Wingdings" w:hint="default"/>
      </w:rPr>
    </w:lvl>
    <w:lvl w:ilvl="7" w:tplc="4F90CBA6">
      <w:start w:val="1"/>
      <w:numFmt w:val="bullet"/>
      <w:lvlText w:val=""/>
      <w:lvlJc w:val="left"/>
      <w:pPr>
        <w:tabs>
          <w:tab w:val="num" w:pos="5760"/>
        </w:tabs>
        <w:ind w:left="5760" w:hanging="360"/>
      </w:pPr>
      <w:rPr>
        <w:rFonts w:ascii="Wingdings" w:hAnsi="Wingdings" w:hint="default"/>
      </w:rPr>
    </w:lvl>
    <w:lvl w:ilvl="8" w:tplc="1E7862A8">
      <w:start w:val="1"/>
      <w:numFmt w:val="bullet"/>
      <w:lvlText w:val=""/>
      <w:lvlJc w:val="left"/>
      <w:pPr>
        <w:tabs>
          <w:tab w:val="num" w:pos="6480"/>
        </w:tabs>
        <w:ind w:left="6480" w:hanging="360"/>
      </w:pPr>
      <w:rPr>
        <w:rFonts w:ascii="Wingdings" w:hAnsi="Wingdings" w:hint="default"/>
      </w:rPr>
    </w:lvl>
  </w:abstractNum>
  <w:abstractNum w:abstractNumId="5">
    <w:nsid w:val="6F182E13"/>
    <w:multiLevelType w:val="hybridMultilevel"/>
    <w:tmpl w:val="B53AF1BC"/>
    <w:lvl w:ilvl="0" w:tplc="4E162F3C">
      <w:start w:val="1"/>
      <w:numFmt w:val="bullet"/>
      <w:lvlText w:val=""/>
      <w:lvlJc w:val="left"/>
      <w:pPr>
        <w:tabs>
          <w:tab w:val="num" w:pos="720"/>
        </w:tabs>
        <w:ind w:left="720" w:hanging="360"/>
      </w:pPr>
      <w:rPr>
        <w:rFonts w:ascii="Wingdings" w:hAnsi="Wingdings" w:hint="default"/>
      </w:rPr>
    </w:lvl>
    <w:lvl w:ilvl="1" w:tplc="60F4CF02">
      <w:start w:val="1"/>
      <w:numFmt w:val="bullet"/>
      <w:lvlText w:val=""/>
      <w:lvlJc w:val="left"/>
      <w:pPr>
        <w:tabs>
          <w:tab w:val="num" w:pos="1440"/>
        </w:tabs>
        <w:ind w:left="1440" w:hanging="360"/>
      </w:pPr>
      <w:rPr>
        <w:rFonts w:ascii="Wingdings" w:hAnsi="Wingdings" w:hint="default"/>
      </w:rPr>
    </w:lvl>
    <w:lvl w:ilvl="2" w:tplc="2048C1E0">
      <w:start w:val="1"/>
      <w:numFmt w:val="bullet"/>
      <w:lvlText w:val=""/>
      <w:lvlJc w:val="left"/>
      <w:pPr>
        <w:tabs>
          <w:tab w:val="num" w:pos="2160"/>
        </w:tabs>
        <w:ind w:left="2160" w:hanging="360"/>
      </w:pPr>
      <w:rPr>
        <w:rFonts w:ascii="Wingdings" w:hAnsi="Wingdings" w:hint="default"/>
      </w:rPr>
    </w:lvl>
    <w:lvl w:ilvl="3" w:tplc="3684C6F8">
      <w:start w:val="1"/>
      <w:numFmt w:val="bullet"/>
      <w:lvlText w:val=""/>
      <w:lvlJc w:val="left"/>
      <w:pPr>
        <w:tabs>
          <w:tab w:val="num" w:pos="2880"/>
        </w:tabs>
        <w:ind w:left="2880" w:hanging="360"/>
      </w:pPr>
      <w:rPr>
        <w:rFonts w:ascii="Wingdings" w:hAnsi="Wingdings" w:hint="default"/>
      </w:rPr>
    </w:lvl>
    <w:lvl w:ilvl="4" w:tplc="B56C6B42">
      <w:start w:val="1"/>
      <w:numFmt w:val="bullet"/>
      <w:lvlText w:val=""/>
      <w:lvlJc w:val="left"/>
      <w:pPr>
        <w:tabs>
          <w:tab w:val="num" w:pos="3600"/>
        </w:tabs>
        <w:ind w:left="3600" w:hanging="360"/>
      </w:pPr>
      <w:rPr>
        <w:rFonts w:ascii="Wingdings" w:hAnsi="Wingdings" w:hint="default"/>
      </w:rPr>
    </w:lvl>
    <w:lvl w:ilvl="5" w:tplc="27F8DDD6">
      <w:start w:val="1"/>
      <w:numFmt w:val="bullet"/>
      <w:lvlText w:val=""/>
      <w:lvlJc w:val="left"/>
      <w:pPr>
        <w:tabs>
          <w:tab w:val="num" w:pos="4320"/>
        </w:tabs>
        <w:ind w:left="4320" w:hanging="360"/>
      </w:pPr>
      <w:rPr>
        <w:rFonts w:ascii="Wingdings" w:hAnsi="Wingdings" w:hint="default"/>
      </w:rPr>
    </w:lvl>
    <w:lvl w:ilvl="6" w:tplc="ED4615CE">
      <w:start w:val="1"/>
      <w:numFmt w:val="bullet"/>
      <w:lvlText w:val=""/>
      <w:lvlJc w:val="left"/>
      <w:pPr>
        <w:tabs>
          <w:tab w:val="num" w:pos="5040"/>
        </w:tabs>
        <w:ind w:left="5040" w:hanging="360"/>
      </w:pPr>
      <w:rPr>
        <w:rFonts w:ascii="Wingdings" w:hAnsi="Wingdings" w:hint="default"/>
      </w:rPr>
    </w:lvl>
    <w:lvl w:ilvl="7" w:tplc="CFFA4CA6">
      <w:start w:val="1"/>
      <w:numFmt w:val="bullet"/>
      <w:lvlText w:val=""/>
      <w:lvlJc w:val="left"/>
      <w:pPr>
        <w:tabs>
          <w:tab w:val="num" w:pos="5760"/>
        </w:tabs>
        <w:ind w:left="5760" w:hanging="360"/>
      </w:pPr>
      <w:rPr>
        <w:rFonts w:ascii="Wingdings" w:hAnsi="Wingdings" w:hint="default"/>
      </w:rPr>
    </w:lvl>
    <w:lvl w:ilvl="8" w:tplc="D2FA3678">
      <w:start w:val="1"/>
      <w:numFmt w:val="bullet"/>
      <w:lvlText w:val=""/>
      <w:lvlJc w:val="left"/>
      <w:pPr>
        <w:tabs>
          <w:tab w:val="num" w:pos="6480"/>
        </w:tabs>
        <w:ind w:left="6480" w:hanging="360"/>
      </w:pPr>
      <w:rPr>
        <w:rFonts w:ascii="Wingdings" w:hAnsi="Wingdings" w:hint="default"/>
      </w:rPr>
    </w:lvl>
  </w:abstractNum>
  <w:num w:numId="1">
    <w:abstractNumId w:val="3"/>
    <w:lvlOverride w:ilvl="0"/>
    <w:lvlOverride w:ilvl="1"/>
    <w:lvlOverride w:ilvl="2"/>
    <w:lvlOverride w:ilvl="3"/>
    <w:lvlOverride w:ilvl="4"/>
    <w:lvlOverride w:ilvl="5"/>
    <w:lvlOverride w:ilvl="6"/>
    <w:lvlOverride w:ilvl="7"/>
    <w:lvlOverride w:ilvl="8"/>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lvlOverride w:ilvl="1"/>
    <w:lvlOverride w:ilvl="2"/>
    <w:lvlOverride w:ilvl="3"/>
    <w:lvlOverride w:ilvl="4"/>
    <w:lvlOverride w:ilvl="5"/>
    <w:lvlOverride w:ilvl="6"/>
    <w:lvlOverride w:ilvl="7"/>
    <w:lvlOverride w:ilvl="8"/>
  </w:num>
  <w:num w:numId="4">
    <w:abstractNumId w:val="2"/>
    <w:lvlOverride w:ilvl="0"/>
    <w:lvlOverride w:ilvl="1"/>
    <w:lvlOverride w:ilvl="2"/>
    <w:lvlOverride w:ilvl="3"/>
    <w:lvlOverride w:ilvl="4"/>
    <w:lvlOverride w:ilvl="5"/>
    <w:lvlOverride w:ilvl="6"/>
    <w:lvlOverride w:ilvl="7"/>
    <w:lvlOverride w:ilvl="8"/>
  </w:num>
  <w:num w:numId="5">
    <w:abstractNumId w:val="4"/>
    <w:lvlOverride w:ilvl="0"/>
    <w:lvlOverride w:ilvl="1"/>
    <w:lvlOverride w:ilvl="2"/>
    <w:lvlOverride w:ilvl="3"/>
    <w:lvlOverride w:ilvl="4"/>
    <w:lvlOverride w:ilvl="5"/>
    <w:lvlOverride w:ilvl="6"/>
    <w:lvlOverride w:ilvl="7"/>
    <w:lvlOverride w:ilvl="8"/>
  </w:num>
  <w:num w:numId="6">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3AC0"/>
    <w:rsid w:val="00493AC0"/>
    <w:rsid w:val="00CE3721"/>
    <w:rsid w:val="00D85B00"/>
    <w:rsid w:val="00DC484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372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372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8367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722</Words>
  <Characters>4119</Characters>
  <Application>Microsoft Office Word</Application>
  <DocSecurity>0</DocSecurity>
  <Lines>34</Lines>
  <Paragraphs>9</Paragraphs>
  <ScaleCrop>false</ScaleCrop>
  <Company/>
  <LinksUpToDate>false</LinksUpToDate>
  <CharactersWithSpaces>4832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userrrr</dc:creator>
  <cp:keywords/>
  <dc:description/>
  <cp:lastModifiedBy>userrrr</cp:lastModifiedBy>
  <cp:revision>2</cp:revision>
  <dcterms:created xsi:type="dcterms:W3CDTF">2015-04-28T12:37:00Z</dcterms:created>
  <dcterms:modified xsi:type="dcterms:W3CDTF">2015-04-28T12:39:00Z</dcterms:modified>
</cp:coreProperties>
</file>