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1C6" w:rsidRPr="001C5287" w:rsidRDefault="00ED31C6" w:rsidP="0003449F">
      <w:pPr>
        <w:autoSpaceDE w:val="0"/>
        <w:autoSpaceDN w:val="0"/>
        <w:adjustRightInd w:val="0"/>
        <w:spacing w:after="0" w:line="240" w:lineRule="auto"/>
        <w:jc w:val="right"/>
        <w:rPr>
          <w:rFonts w:ascii="Andalus" w:hAnsi="Andalus" w:cs="Andalus"/>
          <w:sz w:val="28"/>
          <w:szCs w:val="28"/>
          <w:u w:val="single"/>
          <w:rtl/>
        </w:rPr>
      </w:pPr>
      <w:r w:rsidRPr="001C5287">
        <w:rPr>
          <w:rFonts w:ascii="Andalus" w:hAnsi="Andalus" w:cs="Andalus"/>
          <w:sz w:val="28"/>
          <w:szCs w:val="28"/>
          <w:u w:val="single"/>
          <w:rtl/>
        </w:rPr>
        <w:t xml:space="preserve">أصول </w:t>
      </w:r>
      <w:r w:rsidR="0003449F" w:rsidRPr="001C5287">
        <w:rPr>
          <w:rFonts w:ascii="Andalus" w:hAnsi="Andalus" w:cs="Andalus" w:hint="cs"/>
          <w:sz w:val="28"/>
          <w:szCs w:val="28"/>
          <w:u w:val="single"/>
          <w:rtl/>
        </w:rPr>
        <w:t>الفقه</w:t>
      </w:r>
      <w:r w:rsidRPr="001C5287">
        <w:rPr>
          <w:rFonts w:ascii="Andalus" w:hAnsi="Andalus" w:cs="Andalus"/>
          <w:sz w:val="28"/>
          <w:szCs w:val="28"/>
          <w:u w:val="single"/>
          <w:rtl/>
        </w:rPr>
        <w:t xml:space="preserve"> (3</w:t>
      </w:r>
      <w:proofErr w:type="spellStart"/>
      <w:r w:rsidRPr="001C5287">
        <w:rPr>
          <w:rFonts w:ascii="Andalus" w:hAnsi="Andalus" w:cs="Andalus"/>
          <w:sz w:val="28"/>
          <w:szCs w:val="28"/>
          <w:u w:val="single"/>
          <w:rtl/>
        </w:rPr>
        <w:t>)</w:t>
      </w:r>
      <w:proofErr w:type="spellEnd"/>
      <w:r w:rsidR="0003449F" w:rsidRPr="001C5287">
        <w:rPr>
          <w:rFonts w:ascii="Andalus" w:hAnsi="Andalus" w:cs="Andalus"/>
          <w:sz w:val="28"/>
          <w:szCs w:val="28"/>
          <w:u w:val="single"/>
          <w:rtl/>
        </w:rPr>
        <w:t xml:space="preserve"> ... </w:t>
      </w:r>
      <w:r w:rsidRPr="001C5287">
        <w:rPr>
          <w:rFonts w:ascii="Andalus" w:hAnsi="Andalus" w:cs="Andalus"/>
          <w:sz w:val="28"/>
          <w:szCs w:val="28"/>
          <w:u w:val="single"/>
          <w:rtl/>
        </w:rPr>
        <w:t xml:space="preserve">المحاضرة الثالثة  </w:t>
      </w:r>
    </w:p>
    <w:p w:rsidR="002C7058" w:rsidRDefault="002C7058" w:rsidP="00ED31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4"/>
          <w:szCs w:val="24"/>
          <w:rtl/>
        </w:rPr>
      </w:pPr>
    </w:p>
    <w:p w:rsidR="00ED31C6" w:rsidRDefault="00750F97" w:rsidP="002C7058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PT Bold Heading"/>
          <w:sz w:val="24"/>
          <w:szCs w:val="24"/>
          <w:rtl/>
        </w:rPr>
      </w:pPr>
      <w:proofErr w:type="spellStart"/>
      <w:r>
        <w:rPr>
          <w:rFonts w:ascii="Times New Roman" w:hAnsi="Times New Roman" w:cs="PT Bold Heading" w:hint="cs"/>
          <w:sz w:val="24"/>
          <w:szCs w:val="24"/>
          <w:rtl/>
        </w:rPr>
        <w:t>((</w:t>
      </w:r>
      <w:proofErr w:type="spellEnd"/>
      <w:r>
        <w:rPr>
          <w:rFonts w:ascii="Times New Roman" w:hAnsi="Times New Roman" w:cs="PT Bold Heading" w:hint="cs"/>
          <w:sz w:val="24"/>
          <w:szCs w:val="24"/>
          <w:rtl/>
        </w:rPr>
        <w:t xml:space="preserve"> </w:t>
      </w:r>
      <w:r w:rsidR="00ED31C6" w:rsidRPr="00ED31C6">
        <w:rPr>
          <w:rFonts w:ascii="Times New Roman" w:hAnsi="Times New Roman" w:cs="PT Bold Heading"/>
          <w:sz w:val="24"/>
          <w:szCs w:val="24"/>
          <w:rtl/>
        </w:rPr>
        <w:t>حجية المصالح المرسلة واختلاف الفقهاء فيها</w:t>
      </w:r>
      <w:r>
        <w:rPr>
          <w:rFonts w:ascii="Times New Roman" w:hAnsi="Times New Roman" w:cs="PT Bold Heading" w:hint="cs"/>
          <w:sz w:val="24"/>
          <w:szCs w:val="24"/>
          <w:rtl/>
        </w:rPr>
        <w:t xml:space="preserve"> </w:t>
      </w:r>
      <w:proofErr w:type="spellStart"/>
      <w:r>
        <w:rPr>
          <w:rFonts w:ascii="Times New Roman" w:hAnsi="Times New Roman" w:cs="PT Bold Heading" w:hint="cs"/>
          <w:sz w:val="24"/>
          <w:szCs w:val="24"/>
          <w:rtl/>
        </w:rPr>
        <w:t>))</w:t>
      </w:r>
      <w:proofErr w:type="spellEnd"/>
    </w:p>
    <w:p w:rsidR="00750F97" w:rsidRPr="00ED31C6" w:rsidRDefault="00750F97" w:rsidP="002C7058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PT Bold Heading"/>
          <w:sz w:val="24"/>
          <w:szCs w:val="24"/>
        </w:rPr>
      </w:pP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المصالح على ثلاثة أنواع كما تقدم. فأما النوع الأول فقد اتفق الفقهاء على اعتباره لورود الدليل الخاص بهذا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الاعتبار،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وكذلك النوع الثاني اتفقوا على إلغائه لورود الدليل الخاص على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إلغائه،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ولكنهم في النوع الثالث الذي لم يقم دليل خاص من كتاب أو سنة أو إجماع أو قياس على اعتباره أو إلغائه أيكون معتبرا فيكون مناطا لتشريع الأحكام أم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لا؟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اختلفوا في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ذلك،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وفي المسألة تفصيل على الوجه الآتي:</w:t>
      </w:r>
    </w:p>
    <w:p w:rsid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أحكام الشريعة إما أن تكون معقولة المعنى أو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 كانت غير معقولة المعنى كالأمور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التعبدية،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فإنها لا يمكن تشريع الأحكام لها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بالقياس،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فكيف بالمصالح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المرسلة،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وإما أن تكون معقولة المعنى فهذه محل اختلاف بين الفقهاء على جواز الاستدلال لها بالمناسب المرسل أو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وهم فيها على ثلاثة مذاهب هي:</w:t>
      </w:r>
    </w:p>
    <w:p w:rsidR="002C7058" w:rsidRPr="002C7058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</w:p>
    <w:p w:rsidR="00ED31C6" w:rsidRPr="002C7058" w:rsidRDefault="00ED31C6" w:rsidP="002C7058">
      <w:pPr>
        <w:autoSpaceDE w:val="0"/>
        <w:autoSpaceDN w:val="0"/>
        <w:adjustRightInd w:val="0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 xml:space="preserve">مذهب </w:t>
      </w:r>
      <w:proofErr w:type="spellStart"/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>مالك،</w:t>
      </w:r>
      <w:proofErr w:type="spellEnd"/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 xml:space="preserve"> وإمام الحرمين والغزالي من </w:t>
      </w:r>
      <w:proofErr w:type="spellStart"/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>الشافعية</w:t>
      </w:r>
      <w:r w:rsidRPr="002C7058">
        <w:rPr>
          <w:rFonts w:ascii="Sakkal Majalla" w:hAnsi="Sakkal Majalla" w:cs="Sakkal Majalla"/>
          <w:sz w:val="28"/>
          <w:szCs w:val="28"/>
          <w:rtl/>
        </w:rPr>
        <w:t>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فإنهم ذهبوا إلى الاحتجاج بالمصلحة المرسلة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مطلقا،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واعتبروها دليلا قائما بذاته من أدلة التشريع الإسلامي.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 xml:space="preserve">مذهب جمهور </w:t>
      </w:r>
      <w:proofErr w:type="spellStart"/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>الحنفية</w:t>
      </w:r>
      <w:r w:rsidRPr="002C7058">
        <w:rPr>
          <w:rFonts w:ascii="Sakkal Majalla" w:hAnsi="Sakkal Majalla" w:cs="Sakkal Majalla"/>
          <w:sz w:val="28"/>
          <w:szCs w:val="28"/>
          <w:rtl/>
        </w:rPr>
        <w:t>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فإنهم ذهبوا إلى عدم اعتبار المصلحة المرسلة دليلا قائما بذاته مستقلا عن غيره من أدلة التشريع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الإسلامي،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ولكنهم أدخلوها في أدلة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أخرى،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منها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الاستحسان،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فإنهم يرون صحة استحسان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الضرورة،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وهو ترك القياس لمطلق الضرورة المخالفة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والمصلحة المرسلة ليست إلى تشريعا للحكم على مقتضى الضرورة التي هي المصلحة سواء خالفت القياس أم لم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تخالفه،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وإذا كانوا يقرون الضرورة في مقابلة القياس فهم يقرونها فيما ليس فيه قياس من باب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أولى،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وبذلك يمكن اعتبارهم ممن يأخذون بالمصالح المرسلة ضمنا.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u w:val="single"/>
          <w:rtl/>
        </w:rPr>
        <w:t>الشافعية والشيعة وبعض الفقهاء الآخرين</w:t>
      </w:r>
      <w:r w:rsidRPr="002C7058">
        <w:rPr>
          <w:rFonts w:ascii="Sakkal Majalla" w:hAnsi="Sakkal Majalla" w:cs="Sakkal Majalla"/>
          <w:sz w:val="28"/>
          <w:szCs w:val="28"/>
          <w:rtl/>
        </w:rPr>
        <w:t xml:space="preserve"> لا يرون صحة الأخذ بالمصالح المرسلة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مطلقا،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خلاف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المالكية،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هذا بالنسبة لظاهر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كلامهم،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ولكننا لو تتبعنا تفريعات الشافعية وتفصيلاتهم للأحكام لوجدناهم يحتجون بالمصلحة المرسلة ويسلمون بحجيتها ضمنا كالحنفية.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وبذلك يكون الجمهور ممن يأخذون بالمصالح المرسلة إن صراحة أو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ضمنا،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ولم يخالف في ذلك إلا القليل منهم.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يستدل المثبتون لحجية المصلحة المرسلة على مذهبهم </w:t>
      </w:r>
      <w:proofErr w:type="spellStart"/>
      <w:r w:rsidRPr="002C7058">
        <w:rPr>
          <w:rFonts w:ascii="Sakkal Majalla" w:hAnsi="Sakkal Majalla" w:cs="Sakkal Majalla"/>
          <w:b/>
          <w:bCs/>
          <w:sz w:val="28"/>
          <w:szCs w:val="28"/>
          <w:rtl/>
        </w:rPr>
        <w:t>بأدلة،</w:t>
      </w:r>
      <w:proofErr w:type="spellEnd"/>
      <w:r w:rsidRPr="002C705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منها: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أن مصالح الناس متجددة متغيرة كل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يوم،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والحوادث لا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تنتهي،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ونصوص  القرآن  الكريم والسنة الشريفة والإجماع وعلل القياس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محدودة،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والمحدود لا يفي بغير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المحدود،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فكانت المصلحة المرسلة محتاجا إليها في إثبات الأحكام التي لم يرد فيها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دليل،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تلبية لداعي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الحاجة،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فكانت مصدرا تشريعيا لذلك.</w:t>
      </w:r>
    </w:p>
    <w:p w:rsidR="002C7058" w:rsidRDefault="00ED31C6" w:rsidP="00750F97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أنه ثبت عن الصحابة </w:t>
      </w:r>
      <w:r w:rsidRPr="002C7058">
        <w:rPr>
          <w:rFonts w:ascii="Sakkal Majalla" w:hAnsi="Sakkal Majalla" w:cs="Sakkal Majalla"/>
          <w:sz w:val="28"/>
          <w:szCs w:val="28"/>
        </w:rPr>
        <w:t>y</w:t>
      </w:r>
      <w:r w:rsidRPr="002C7058">
        <w:rPr>
          <w:rFonts w:ascii="Sakkal Majalla" w:hAnsi="Sakkal Majalla" w:cs="Sakkal Majalla"/>
          <w:sz w:val="28"/>
          <w:szCs w:val="28"/>
          <w:rtl/>
        </w:rPr>
        <w:t xml:space="preserve"> كثير من الأحكام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الشرعية،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وليس لها دليل إلا المصلحة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المرسلة،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دون اعتراض واحد منهم على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ذلك،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فكان ذلك إجماعا منهم على اعتبارها والاستدلال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بها،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من ذلك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مثلا: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جمع أبي بكر </w:t>
      </w:r>
      <w:r w:rsidRPr="002C7058">
        <w:rPr>
          <w:rFonts w:ascii="Sakkal Majalla" w:hAnsi="Sakkal Majalla" w:cs="Sakkal Majalla"/>
          <w:sz w:val="28"/>
          <w:szCs w:val="28"/>
        </w:rPr>
        <w:t>t</w:t>
      </w:r>
      <w:r w:rsidRPr="002C7058">
        <w:rPr>
          <w:rFonts w:ascii="Sakkal Majalla" w:hAnsi="Sakkal Majalla" w:cs="Sakkal Majalla"/>
          <w:sz w:val="28"/>
          <w:szCs w:val="28"/>
          <w:rtl/>
        </w:rPr>
        <w:t xml:space="preserve"> القرآن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الكريم،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 ليس هنالك نص من كتاب أو سنة أو إجماع يقتضي وجوب جمعه أو يجيزه إلا </w:t>
      </w:r>
      <w:r w:rsidRPr="002C7058">
        <w:rPr>
          <w:rFonts w:ascii="Sakkal Majalla" w:hAnsi="Sakkal Majalla" w:cs="Sakkal Majalla"/>
          <w:sz w:val="28"/>
          <w:szCs w:val="28"/>
          <w:rtl/>
        </w:rPr>
        <w:lastRenderedPageBreak/>
        <w:t xml:space="preserve">المصلحة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المرسلة،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وكذلك استخلافه عمر بن الخطاب </w:t>
      </w:r>
      <w:r w:rsidRPr="002C7058">
        <w:rPr>
          <w:rFonts w:ascii="Sakkal Majalla" w:hAnsi="Sakkal Majalla" w:cs="Sakkal Majalla"/>
          <w:sz w:val="28"/>
          <w:szCs w:val="28"/>
        </w:rPr>
        <w:t>y</w:t>
      </w:r>
      <w:r w:rsidRPr="002C7058">
        <w:rPr>
          <w:rFonts w:ascii="Sakkal Majalla" w:hAnsi="Sakkal Majalla" w:cs="Sakkal Majalla"/>
          <w:sz w:val="28"/>
          <w:szCs w:val="28"/>
          <w:rtl/>
        </w:rPr>
        <w:t xml:space="preserve"> من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بعده،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ومثله أيضا تضمين على </w:t>
      </w:r>
      <w:r w:rsidRPr="002C7058">
        <w:rPr>
          <w:rFonts w:ascii="Sakkal Majalla" w:hAnsi="Sakkal Majalla" w:cs="Sakkal Majalla"/>
          <w:sz w:val="28"/>
          <w:szCs w:val="28"/>
        </w:rPr>
        <w:t>t</w:t>
      </w:r>
      <w:r w:rsidRPr="002C7058">
        <w:rPr>
          <w:rFonts w:ascii="Sakkal Majalla" w:hAnsi="Sakkal Majalla" w:cs="Sakkal Majalla"/>
          <w:sz w:val="28"/>
          <w:szCs w:val="28"/>
          <w:rtl/>
        </w:rPr>
        <w:t xml:space="preserve"> الأجير المشترك ما هلك تحت يده بغير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صنعه،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وغيرها كثير.</w:t>
      </w:r>
    </w:p>
    <w:p w:rsidR="0003449F" w:rsidRPr="002C7058" w:rsidRDefault="0003449F" w:rsidP="00750F97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</w:p>
    <w:p w:rsidR="0003449F" w:rsidRPr="0003449F" w:rsidRDefault="00ED31C6" w:rsidP="0003449F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03449F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ويستدل النافون لحجية المصلحة المرسلة </w:t>
      </w:r>
      <w:proofErr w:type="spellStart"/>
      <w:r w:rsidRPr="0003449F">
        <w:rPr>
          <w:rFonts w:ascii="Sakkal Majalla" w:hAnsi="Sakkal Majalla" w:cs="Sakkal Majalla"/>
          <w:b/>
          <w:bCs/>
          <w:sz w:val="28"/>
          <w:szCs w:val="28"/>
          <w:rtl/>
        </w:rPr>
        <w:t>بأدلة،</w:t>
      </w:r>
      <w:proofErr w:type="spellEnd"/>
      <w:r w:rsidRPr="0003449F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منها:</w:t>
      </w:r>
    </w:p>
    <w:p w:rsidR="00ED31C6" w:rsidRPr="002C7058" w:rsidRDefault="00ED31C6" w:rsidP="00750F97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أن المصدر للتشريع هو الله تعالى بأمره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ونهيه،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وليس في المصلحة المرسلة دليل يشهد لها بالاعتبار من قبل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الشارع،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ولذلك لا يمكن أن تكون دليلا على حكم الله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تعالى،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وبالتالي ليست مصدرا للتشريع.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لكن يجاب على هذا الدليل بأن المصلحة هذه معتبرة من الشارع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بالجملة،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وإن لم يكن هنالك دليل عليها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بعينها،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وذلك في عموميات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الشريعة،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من مثل القاعدة الفقهية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الكلية: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(لا ضرر ولا ضرار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)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والقاعدة: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(الحرج مرفوع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)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وغيرها مما هو شاهد على أن ما غلبت مصلحته على ضرره فهو مصلحة معتبرة من قبل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الشارع،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وبالتالي معتبرة من قبله تمثل حكمه تعالى.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إن احتجاج المثبتين للمصلحة بأن ذلك كان ضرورة عدم خلو المسألة غير المنصوص عليها عن الحكم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باطل،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ذلك أن حكم الله تعالى في كل ما لم ينص عليه هو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الإباحة،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أي حكم البراءة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الأصلية،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فلم يكن محتاجا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إليها،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فلا تكون دليلا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لذلك،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ولكن يجاب عن ذلك بأن الحكم الثابت بالبراءة الأصلية هو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الإباحة،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أما الثابت بالمصلحة المرسلة فقد يكون الوجوب وقد يكون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التحريم،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مثل جمع القرآن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الكريم،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واجب،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وحفر البئر في الطريق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العام،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حرام،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فلم يكن حكم البراءة الأصلية بمغن عنها.</w:t>
      </w:r>
    </w:p>
    <w:p w:rsidR="00ED31C6" w:rsidRPr="002C7058" w:rsidRDefault="00ED31C6" w:rsidP="00750F97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وبذلك ننتهي إلى أن الراجح أن الحق مع جمهور الفقهاء في اعتبار المصلحة المرسلة دليلا من أدلة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الشريعة،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ولكنه ليس دليلا أصليا بل إنه دليل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تبعي،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لأن الحكم الثابت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بها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إنما هو ثابت أصلا بالدليل الذي شهد لها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بالاعتبار،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وهو القواعد  العامة التي جاءت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بها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السنة الشريفة أو شهد لها الكتاب الكريم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بالاعتبار،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كما تقدم.</w:t>
      </w:r>
    </w:p>
    <w:p w:rsidR="00ED31C6" w:rsidRPr="00ED31C6" w:rsidRDefault="00ED31C6" w:rsidP="002C70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PT Bold Heading"/>
          <w:sz w:val="24"/>
          <w:szCs w:val="24"/>
          <w:u w:val="single"/>
        </w:rPr>
      </w:pPr>
      <w:r w:rsidRPr="00ED31C6">
        <w:rPr>
          <w:rFonts w:ascii="Times New Roman" w:hAnsi="Times New Roman" w:cs="PT Bold Heading"/>
          <w:sz w:val="24"/>
          <w:szCs w:val="24"/>
          <w:u w:val="single"/>
          <w:rtl/>
        </w:rPr>
        <w:t>مراتب المصلحة وأنواعها</w:t>
      </w:r>
      <w:r>
        <w:rPr>
          <w:rFonts w:ascii="Times New Roman" w:hAnsi="Times New Roman" w:cs="PT Bold Heading" w:hint="cs"/>
          <w:sz w:val="24"/>
          <w:szCs w:val="24"/>
          <w:u w:val="single"/>
          <w:rtl/>
        </w:rPr>
        <w:t>: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من استقصاء المصالح التي شهدت لها عموما الشريعة بالاعتبار نراها على ثلاث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مراتب،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تكمل كل مرتبة منها المرتبة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الأخرى،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وهي: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الضروريات،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والحاجيات،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والتحسينات.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فالضرورات،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هي الأمور والمصالح التي إذا فاتت فوتت على الإنسان مصالح الدنيا والدين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جميعا،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وهي خمس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حصرا: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النفس،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العقل،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النسل،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المال،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وحفظ الدين.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أما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الحاجيات،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فهي المصالح التي إذا فاتت ألحقت بالإنسان حرجا وضيقا.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وأما التحسينات فهي مصالح مكملة ومزينة للحاجيات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والضروريات،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ولا يلزم من فواتها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لحوق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الحرج،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ولكن شيء من الارتباك والتعقيد في بعض المصالح.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فمن الضروريات وجوب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القصاص،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وذلك  لما فيه من 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النفس،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ووجوب الجهاد لما فيه من حفظ الدين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والمال،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وتحريم الخمر لما فيه من حفظ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العقل،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وإباحة الزواج وتحريم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الزنا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حفظا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للنسل،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وهكــذا.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ومن الحاجيات إباحة العقود والمبادلات المالية بأنواعها في حدود تأمين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المصلحة،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 في المنع منها حرجا كبيرا بالناس.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lastRenderedPageBreak/>
        <w:t xml:space="preserve">ومن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التحسينيات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: التحلي بمكارم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الأخلاق،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والتطهر من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النجاسات،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وكل الآداب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الإسلامية،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فإنها مكملة لمصالح الناس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الحاجية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>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2C7058">
        <w:rPr>
          <w:rFonts w:ascii="Sakkal Majalla" w:hAnsi="Sakkal Majalla" w:cs="Sakkal Majalla"/>
          <w:sz w:val="28"/>
          <w:szCs w:val="28"/>
          <w:rtl/>
        </w:rPr>
        <w:t xml:space="preserve">والمصالح المرسلة معتبرة بهذا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الترتيب،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فنقدم أو لا المصالح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الضرورية،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ثم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التكميلية،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ثم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التحسينية،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وذلك عند التضارب والتعارض فيما </w:t>
      </w:r>
      <w:proofErr w:type="spellStart"/>
      <w:r w:rsidRPr="002C7058">
        <w:rPr>
          <w:rFonts w:ascii="Sakkal Majalla" w:hAnsi="Sakkal Majalla" w:cs="Sakkal Majalla"/>
          <w:sz w:val="28"/>
          <w:szCs w:val="28"/>
          <w:rtl/>
        </w:rPr>
        <w:t>بينهما،</w:t>
      </w:r>
      <w:proofErr w:type="spellEnd"/>
      <w:r w:rsidRPr="002C7058">
        <w:rPr>
          <w:rFonts w:ascii="Sakkal Majalla" w:hAnsi="Sakkal Majalla" w:cs="Sakkal Majalla"/>
          <w:sz w:val="28"/>
          <w:szCs w:val="28"/>
          <w:rtl/>
        </w:rPr>
        <w:t xml:space="preserve">  فإذا لم يكن بينها تعارض،روعيت جميعا بقدر الإمكان.</w:t>
      </w:r>
    </w:p>
    <w:p w:rsidR="00ED31C6" w:rsidRPr="002C7058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</w:p>
    <w:p w:rsidR="00ED31C6" w:rsidRPr="00ED31C6" w:rsidRDefault="00ED31C6" w:rsidP="002C705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PT Bold Heading"/>
          <w:sz w:val="24"/>
          <w:szCs w:val="24"/>
          <w:u w:val="single"/>
        </w:rPr>
      </w:pPr>
      <w:r w:rsidRPr="00ED31C6">
        <w:rPr>
          <w:rFonts w:ascii="Times New Roman" w:hAnsi="Times New Roman" w:cs="PT Bold Heading"/>
          <w:sz w:val="24"/>
          <w:szCs w:val="24"/>
          <w:u w:val="single"/>
          <w:rtl/>
        </w:rPr>
        <w:t>شروط العمل بالمصلحة المرسلة</w:t>
      </w:r>
    </w:p>
    <w:p w:rsidR="00ED31C6" w:rsidRP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Simplified Arabic"/>
          <w:sz w:val="24"/>
          <w:szCs w:val="24"/>
          <w:rtl/>
        </w:rPr>
      </w:pPr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لقد وضع الفقهاء شروطا للعمل بالمصلحة المرسلة لئلا تكون ألعوبة في أيدي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الساسة،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فيسخرونها لأغراضهم ويشرعون الأحكام وفقا لها على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هواهم،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 لكن الفقهاء اختلفوا في هذه الشروط توسعة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وتضييقا،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فالجمهور توسعوا أو توسطوا في الأخذ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بالمصلحة،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وهم الحنفية والمالكية والحنبلية. والغزالي من الشافعية ضيق العمل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بها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وقيده بشروط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مشددة،.</w:t>
      </w:r>
      <w:proofErr w:type="spellEnd"/>
    </w:p>
    <w:p w:rsidR="00ED31C6" w:rsidRP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Simplified Arabic"/>
          <w:b/>
          <w:bCs/>
          <w:sz w:val="24"/>
          <w:szCs w:val="24"/>
          <w:rtl/>
        </w:rPr>
      </w:pPr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أما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الطوفي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فقد توسع فيها توسعا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مخلا،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فخرج </w:t>
      </w:r>
      <w:proofErr w:type="spellStart"/>
      <w:r w:rsidRPr="00ED31C6">
        <w:rPr>
          <w:rFonts w:ascii="Times New Roman" w:hAnsi="Times New Roman" w:cs="Simplified Arabic"/>
          <w:sz w:val="24"/>
          <w:szCs w:val="24"/>
          <w:rtl/>
        </w:rPr>
        <w:t>بها</w:t>
      </w:r>
      <w:proofErr w:type="spellEnd"/>
      <w:r w:rsidRPr="00ED31C6">
        <w:rPr>
          <w:rFonts w:ascii="Times New Roman" w:hAnsi="Times New Roman" w:cs="Simplified Arabic"/>
          <w:sz w:val="24"/>
          <w:szCs w:val="24"/>
          <w:rtl/>
        </w:rPr>
        <w:t xml:space="preserve"> عن النطاق المشروع إلى الهوى المنبوذ.</w:t>
      </w:r>
    </w:p>
    <w:p w:rsid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Simplified Arabic"/>
          <w:b/>
          <w:bCs/>
          <w:sz w:val="24"/>
          <w:szCs w:val="24"/>
          <w:rtl/>
        </w:rPr>
      </w:pPr>
      <w:r w:rsidRPr="00ED31C6">
        <w:rPr>
          <w:rFonts w:ascii="Times New Roman" w:hAnsi="Times New Roman" w:cs="Simplified Arabic"/>
          <w:b/>
          <w:bCs/>
          <w:sz w:val="24"/>
          <w:szCs w:val="24"/>
          <w:rtl/>
        </w:rPr>
        <w:t>وذلك على النحو التالي:</w:t>
      </w:r>
    </w:p>
    <w:p w:rsidR="002C7058" w:rsidRPr="002C7058" w:rsidRDefault="002C7058" w:rsidP="002C7058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PT Bold Heading"/>
          <w:sz w:val="24"/>
          <w:szCs w:val="24"/>
          <w:u w:val="single"/>
        </w:rPr>
      </w:pPr>
      <w:r w:rsidRPr="002C7058">
        <w:rPr>
          <w:rFonts w:ascii="Times New Roman" w:hAnsi="Times New Roman" w:cs="PT Bold Heading"/>
          <w:sz w:val="24"/>
          <w:szCs w:val="24"/>
          <w:u w:val="single"/>
          <w:rtl/>
        </w:rPr>
        <w:t>شروط الجمهور:</w:t>
      </w:r>
    </w:p>
    <w:p w:rsidR="002C7058" w:rsidRPr="0003449F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03449F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اشترط الجمهور لإعمال المصلحة المرسلة شروطا </w:t>
      </w:r>
      <w:proofErr w:type="spellStart"/>
      <w:r w:rsidRPr="0003449F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>خمسة،</w:t>
      </w:r>
      <w:proofErr w:type="spellEnd"/>
      <w:r w:rsidRPr="0003449F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 xml:space="preserve"> هي:</w:t>
      </w:r>
    </w:p>
    <w:p w:rsidR="002C7058" w:rsidRPr="00750F97" w:rsidRDefault="00750F97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proofErr w:type="spellStart"/>
      <w:r w:rsidRPr="00750F97">
        <w:rPr>
          <w:rFonts w:ascii="Times New Roman" w:hAnsi="Times New Roman" w:cs="Simplified Arabic" w:hint="cs"/>
          <w:b/>
          <w:bCs/>
          <w:sz w:val="24"/>
          <w:szCs w:val="24"/>
          <w:rtl/>
        </w:rPr>
        <w:t>1</w:t>
      </w:r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-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</w:t>
      </w:r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أن تكون المصلحة ضرورية أو </w:t>
      </w:r>
      <w:proofErr w:type="spellStart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حاجية</w:t>
      </w:r>
      <w:r w:rsidR="002C7058" w:rsidRPr="00750F97">
        <w:rPr>
          <w:rFonts w:ascii="Sakkal Majalla" w:hAnsi="Sakkal Majalla" w:cs="Sakkal Majalla"/>
          <w:b/>
          <w:bCs/>
          <w:sz w:val="28"/>
          <w:szCs w:val="28"/>
          <w:rtl/>
        </w:rPr>
        <w:t>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أما التحسينية فلا عبرة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بها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ولا حجية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فيها،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لأنه لا عسر في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تركها،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وقد تقدم بيان الضروريات والحاجيات والتحسينات.</w:t>
      </w:r>
    </w:p>
    <w:p w:rsidR="002C7058" w:rsidRPr="00750F97" w:rsidRDefault="00750F97" w:rsidP="00750F97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rtl/>
        </w:rPr>
        <w:t>2-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</w:t>
      </w:r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أن تكون </w:t>
      </w:r>
      <w:proofErr w:type="spellStart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حقيقية</w:t>
      </w:r>
      <w:proofErr w:type="spellEnd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:</w:t>
      </w:r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وذلك بغلبة الظن النزيه أنها من جنس مقاصد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الشارع،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 لأن المصلحة في هذا الباب هي المصلحة المشهود لها من قبل الشارع بالقواعد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العامة،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 وليس كل ما جلب نفعا ودفع ضرا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مطلقا،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 ثم بعد ذلك أن يكون نفعها غالبا على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ضرها،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لأن المصالح أمور نسبية كما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تقدم،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والعبرة فيها لما هو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الغالب،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 فلو كانت مغلوبة لم تصلح لتشريع الحكم.</w:t>
      </w:r>
    </w:p>
    <w:p w:rsidR="00ED31C6" w:rsidRPr="00750F97" w:rsidRDefault="00750F97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proofErr w:type="spellStart"/>
      <w:r w:rsidRPr="00750F97">
        <w:rPr>
          <w:rFonts w:ascii="Sakkal Majalla" w:hAnsi="Sakkal Majalla" w:cs="Sakkal Majalla"/>
          <w:sz w:val="28"/>
          <w:szCs w:val="28"/>
          <w:u w:val="single"/>
          <w:rtl/>
        </w:rPr>
        <w:t>3-</w:t>
      </w:r>
      <w:proofErr w:type="spellEnd"/>
      <w:r w:rsidRPr="00750F97">
        <w:rPr>
          <w:rFonts w:ascii="Sakkal Majalla" w:hAnsi="Sakkal Majalla" w:cs="Sakkal Majalla"/>
          <w:sz w:val="28"/>
          <w:szCs w:val="28"/>
          <w:u w:val="single"/>
          <w:rtl/>
        </w:rPr>
        <w:t xml:space="preserve"> </w:t>
      </w:r>
      <w:r w:rsidR="00ED31C6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أن تكون </w:t>
      </w:r>
      <w:proofErr w:type="spellStart"/>
      <w:r w:rsidR="00ED31C6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عامَّة: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وذلك بأن تشمل عددا كبيرا من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الناس،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لا أن تكون خاصة لواحد منهم أو لفئة محدودة دون بقية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الناس،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 ولكن ليس معنى هذا أن تكون شاملة للناس جميعا من غير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استثناء،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فإن ذلك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متعذر،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 بل إذا شملت أكثرهم أو جنسا غير محدود منهم كانت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عامة،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كأن تعم البدو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فقط،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أو الحضر </w:t>
      </w:r>
      <w:proofErr w:type="spellStart"/>
      <w:r w:rsidR="00ED31C6" w:rsidRPr="00750F97">
        <w:rPr>
          <w:rFonts w:ascii="Sakkal Majalla" w:hAnsi="Sakkal Majalla" w:cs="Sakkal Majalla"/>
          <w:sz w:val="28"/>
          <w:szCs w:val="28"/>
          <w:rtl/>
        </w:rPr>
        <w:t>فقط،</w:t>
      </w:r>
      <w:proofErr w:type="spellEnd"/>
      <w:r w:rsidR="00ED31C6" w:rsidRPr="00750F97">
        <w:rPr>
          <w:rFonts w:ascii="Sakkal Majalla" w:hAnsi="Sakkal Majalla" w:cs="Sakkal Majalla"/>
          <w:sz w:val="28"/>
          <w:szCs w:val="28"/>
          <w:rtl/>
        </w:rPr>
        <w:t xml:space="preserve"> أو أرباب صناعة بكاملها دون الصناعات الأخرى.</w:t>
      </w:r>
    </w:p>
    <w:p w:rsidR="002C7058" w:rsidRPr="00750F97" w:rsidRDefault="00750F97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4-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</w:t>
      </w:r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أن لا تكون معارضة بحكم ثابت بنص من القرآن الكريم </w:t>
      </w:r>
      <w:proofErr w:type="spellStart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أوالسنة</w:t>
      </w:r>
      <w:proofErr w:type="spellEnd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الشريفة أو </w:t>
      </w:r>
      <w:proofErr w:type="spellStart"/>
      <w:r w:rsidR="002C7058"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الإجماع،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فإن كانت معارضة بذلك لم تكن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مرسلة،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بل كانت مصلحة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ملغاة،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وهذا الاتفاق على منع الاحتجاج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بها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كما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تقدم،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لأنها مصلحة غير معتبرة من </w:t>
      </w:r>
      <w:proofErr w:type="spellStart"/>
      <w:r w:rsidR="002C7058" w:rsidRPr="00750F97">
        <w:rPr>
          <w:rFonts w:ascii="Sakkal Majalla" w:hAnsi="Sakkal Majalla" w:cs="Sakkal Majalla"/>
          <w:sz w:val="28"/>
          <w:szCs w:val="28"/>
          <w:rtl/>
        </w:rPr>
        <w:t>الشارع،</w:t>
      </w:r>
      <w:proofErr w:type="spellEnd"/>
      <w:r w:rsidR="002C7058" w:rsidRPr="00750F97">
        <w:rPr>
          <w:rFonts w:ascii="Sakkal Majalla" w:hAnsi="Sakkal Majalla" w:cs="Sakkal Majalla"/>
          <w:sz w:val="28"/>
          <w:szCs w:val="28"/>
          <w:rtl/>
        </w:rPr>
        <w:t xml:space="preserve">  ولأن النص مقدم عليها أيضا.</w:t>
      </w:r>
    </w:p>
    <w:p w:rsidR="002C7058" w:rsidRPr="00750F97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5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-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أن تكون المصلحة معقولة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المعنى،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وإلا لم يجز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اعتبارها،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كالعبادات والمقدرات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الشرعية،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فإنها لا يجري فيها القياس كما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تقدم،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فلا تجري فيها المصلحة المرسلة من باب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أولى،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 لأن المصلحة ما عرف نفعه من ضرره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بالعقل،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 وهذه لا يستطيع العقل إدراك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كنهها،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ولذلك لا يستطيع معرفة الحسن منها من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القبيح،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فلا تكون معتبرة لذلك.</w:t>
      </w:r>
    </w:p>
    <w:p w:rsid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Times New Roman"/>
          <w:sz w:val="24"/>
          <w:szCs w:val="24"/>
          <w:rtl/>
        </w:rPr>
      </w:pPr>
    </w:p>
    <w:p w:rsidR="0003449F" w:rsidRDefault="0003449F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Times New Roman"/>
          <w:sz w:val="24"/>
          <w:szCs w:val="24"/>
          <w:rtl/>
        </w:rPr>
      </w:pPr>
    </w:p>
    <w:p w:rsidR="0003449F" w:rsidRPr="00ED31C6" w:rsidRDefault="0003449F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Times New Roman"/>
          <w:sz w:val="24"/>
          <w:szCs w:val="24"/>
        </w:rPr>
      </w:pPr>
    </w:p>
    <w:p w:rsidR="00ED31C6" w:rsidRPr="002C7058" w:rsidRDefault="00ED31C6" w:rsidP="002C7058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Times New Roman" w:hAnsi="Times New Roman" w:cs="PT Bold Heading"/>
          <w:sz w:val="28"/>
          <w:szCs w:val="28"/>
          <w:u w:val="single"/>
        </w:rPr>
      </w:pPr>
      <w:r w:rsidRPr="002C7058">
        <w:rPr>
          <w:rFonts w:ascii="Times New Roman" w:hAnsi="Times New Roman" w:cs="PT Bold Heading"/>
          <w:sz w:val="28"/>
          <w:szCs w:val="28"/>
          <w:u w:val="single"/>
          <w:rtl/>
        </w:rPr>
        <w:t xml:space="preserve">شروط الغزالي </w:t>
      </w:r>
      <w:proofErr w:type="spellStart"/>
      <w:r w:rsidRPr="002C7058">
        <w:rPr>
          <w:rFonts w:ascii="Times New Roman" w:hAnsi="Times New Roman" w:cs="PT Bold Heading"/>
          <w:sz w:val="28"/>
          <w:szCs w:val="28"/>
          <w:u w:val="single"/>
          <w:rtl/>
        </w:rPr>
        <w:t>والطوفي</w:t>
      </w:r>
      <w:proofErr w:type="spellEnd"/>
    </w:p>
    <w:p w:rsidR="00ED31C6" w:rsidRPr="00750F97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750F97">
        <w:rPr>
          <w:rFonts w:ascii="Sakkal Majalla" w:hAnsi="Sakkal Majalla" w:cs="Sakkal Majalla"/>
          <w:sz w:val="28"/>
          <w:szCs w:val="28"/>
          <w:rtl/>
        </w:rPr>
        <w:t xml:space="preserve">قلنا إن الغزالي رحمه الله تعالى تشدد في اعتبار المصلحة أكثر من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الجمهور،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فقيدها بالضوابط الآتية:</w:t>
      </w:r>
    </w:p>
    <w:p w:rsidR="00ED31C6" w:rsidRPr="00750F97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 xml:space="preserve">أن تكون المصلحة ضرورية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>فقط،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أما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الحاجية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والتحسينية فلا تعتبر في هذا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الباب،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خلافا للجمهور الذين اعتبروا الضروريات والحاجيات كما تقدم.</w:t>
      </w:r>
    </w:p>
    <w:p w:rsidR="00ED31C6" w:rsidRPr="00750F97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750F97">
        <w:rPr>
          <w:rFonts w:ascii="Sakkal Majalla" w:hAnsi="Sakkal Majalla" w:cs="Sakkal Majalla"/>
          <w:sz w:val="28"/>
          <w:szCs w:val="28"/>
          <w:shd w:val="clear" w:color="auto" w:fill="F2F2F2" w:themeFill="background1" w:themeFillShade="F2"/>
          <w:rtl/>
        </w:rPr>
        <w:t xml:space="preserve">أن </w:t>
      </w:r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 xml:space="preserve">تكون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>قطعية</w:t>
      </w:r>
      <w:r w:rsidRPr="00750F97">
        <w:rPr>
          <w:rFonts w:ascii="Sakkal Majalla" w:hAnsi="Sakkal Majalla" w:cs="Sakkal Majalla"/>
          <w:sz w:val="28"/>
          <w:szCs w:val="28"/>
          <w:shd w:val="clear" w:color="auto" w:fill="F2F2F2" w:themeFill="background1" w:themeFillShade="F2"/>
          <w:rtl/>
        </w:rPr>
        <w:t>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أي مقطوعا بحصولها بيقين أو بغلبة ظن يقارب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اليقين،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 فإذ</w:t>
      </w:r>
      <w:r w:rsidRPr="00750F97">
        <w:rPr>
          <w:rFonts w:ascii="Sakkal Majalla" w:hAnsi="Sakkal Majalla" w:cs="Sakkal Majalla"/>
          <w:sz w:val="28"/>
          <w:szCs w:val="28"/>
          <w:rtl/>
        </w:rPr>
        <w:tab/>
        <w:t xml:space="preserve">ا كانت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مظنونة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يتساوى فيها الاحتمالان أو يرجح جانب المصلحة فيها قليلا فإنها لا عبرة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بها،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خلافا للجمهور الذين يعتبرون المصلحة القطعية والظنية معا.</w:t>
      </w:r>
    </w:p>
    <w:p w:rsidR="00ED31C6" w:rsidRPr="00750F97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750F97">
        <w:rPr>
          <w:rFonts w:ascii="Sakkal Majalla" w:hAnsi="Sakkal Majalla" w:cs="Sakkal Majalla"/>
          <w:sz w:val="28"/>
          <w:szCs w:val="28"/>
          <w:shd w:val="clear" w:color="auto" w:fill="F2F2F2" w:themeFill="background1" w:themeFillShade="F2"/>
          <w:rtl/>
        </w:rPr>
        <w:t xml:space="preserve">أن </w:t>
      </w:r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 xml:space="preserve">تكون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shd w:val="clear" w:color="auto" w:fill="F2F2F2" w:themeFill="background1" w:themeFillShade="F2"/>
          <w:rtl/>
        </w:rPr>
        <w:t>كلية</w:t>
      </w:r>
      <w:r w:rsidRPr="00750F97">
        <w:rPr>
          <w:rFonts w:ascii="Sakkal Majalla" w:hAnsi="Sakkal Majalla" w:cs="Sakkal Majalla"/>
          <w:sz w:val="28"/>
          <w:szCs w:val="28"/>
          <w:shd w:val="clear" w:color="auto" w:fill="F2F2F2" w:themeFill="background1" w:themeFillShade="F2"/>
          <w:rtl/>
        </w:rPr>
        <w:t>: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أي عامة لجميع المسلمين غير خاصة بفئة معينة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منهم،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خلافا للجمهور الذين اشترطوا العموم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فقط،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وارتضوا أن تكون المصلحة خاصة بفئة معينة من المسلمين إذا كانت هذه الفئة غير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محدودة،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كما تقدم.</w:t>
      </w:r>
    </w:p>
    <w:p w:rsidR="002C7058" w:rsidRPr="00750F97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شروط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الطـوفي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:</w:t>
      </w:r>
    </w:p>
    <w:p w:rsidR="002C7058" w:rsidRPr="00750F97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وهو نجم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الدين،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أحد علماء القرن السابع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الهجري،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فقد ذهب إلى رأي شاذ في المصلحة المرسلة خالف فيها جماهير المسلمين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وعامتهم،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فقال: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إن المصالح هي جلب المنافع ودفع المضار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فقط،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دون أن يقيدها بما جاء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الشرع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به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أو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بجنسه،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 ثم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قال: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إن المصالح بهذا التعريف هي مقصود الشارع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دائما،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فإذا كانت معقولة المعنى وجاءت النصوص على خلافها كانت المصلحة ناسخة للنصوص.</w:t>
      </w:r>
    </w:p>
    <w:p w:rsidR="002C7058" w:rsidRPr="00750F97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ولا شك أن هذا الرأي خطير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وفاسد،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وتشريع على مطلق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الهوى،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وإلغاء للنصوص بمطلق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الوهم،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وخلخلة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للشريعة،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ونقض </w:t>
      </w:r>
      <w:proofErr w:type="spellStart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لأركانها،</w:t>
      </w:r>
      <w:proofErr w:type="spellEnd"/>
      <w:r w:rsidRPr="00750F97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ولذلك أجمع المسلمون على رفضه.</w:t>
      </w:r>
    </w:p>
    <w:p w:rsidR="002C7058" w:rsidRPr="00750F97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</w:p>
    <w:p w:rsidR="00ED31C6" w:rsidRPr="00750F97" w:rsidRDefault="00750F97" w:rsidP="00750F97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hAnsi="Times New Roman" w:cs="PT Bold Heading"/>
          <w:sz w:val="24"/>
          <w:szCs w:val="24"/>
          <w:u w:val="single"/>
        </w:rPr>
      </w:pPr>
      <w:r>
        <w:rPr>
          <w:rFonts w:ascii="Times New Roman" w:hAnsi="Times New Roman" w:cs="PT Bold Heading"/>
          <w:sz w:val="24"/>
          <w:szCs w:val="24"/>
          <w:u w:val="single"/>
          <w:rtl/>
        </w:rPr>
        <w:t xml:space="preserve">حكم المصالح المرسلة </w:t>
      </w:r>
      <w:r>
        <w:rPr>
          <w:rFonts w:ascii="Times New Roman" w:hAnsi="Times New Roman" w:cs="PT Bold Heading" w:hint="cs"/>
          <w:sz w:val="24"/>
          <w:szCs w:val="24"/>
          <w:u w:val="single"/>
          <w:rtl/>
        </w:rPr>
        <w:t xml:space="preserve"> </w:t>
      </w:r>
      <w:r w:rsidRPr="00750F97">
        <w:rPr>
          <w:rFonts w:ascii="Times New Roman" w:hAnsi="Times New Roman" w:cs="PT Bold Heading"/>
          <w:sz w:val="24"/>
          <w:szCs w:val="24"/>
          <w:u w:val="single"/>
          <w:rtl/>
        </w:rPr>
        <w:t xml:space="preserve">ودرجتها بين مصادر التشريع </w:t>
      </w:r>
      <w:proofErr w:type="spellStart"/>
      <w:r w:rsidRPr="00750F97">
        <w:rPr>
          <w:rFonts w:ascii="Times New Roman" w:hAnsi="Times New Roman" w:cs="PT Bold Heading"/>
          <w:sz w:val="24"/>
          <w:szCs w:val="24"/>
          <w:u w:val="single"/>
          <w:rtl/>
        </w:rPr>
        <w:t>الأخرى</w:t>
      </w:r>
      <w:r>
        <w:rPr>
          <w:rFonts w:ascii="Times New Roman" w:hAnsi="Times New Roman" w:cs="PT Bold Heading" w:hint="cs"/>
          <w:sz w:val="24"/>
          <w:szCs w:val="24"/>
          <w:u w:val="single"/>
          <w:rtl/>
        </w:rPr>
        <w:t>::</w:t>
      </w:r>
      <w:proofErr w:type="spellEnd"/>
    </w:p>
    <w:p w:rsidR="00ED31C6" w:rsidRPr="00750F97" w:rsidRDefault="00ED31C6" w:rsidP="00750F97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hAnsi="Times New Roman" w:cs="PT Bold Heading"/>
          <w:sz w:val="24"/>
          <w:szCs w:val="24"/>
          <w:u w:val="single"/>
          <w:rtl/>
        </w:rPr>
      </w:pPr>
    </w:p>
    <w:p w:rsidR="00ED31C6" w:rsidRDefault="00ED31C6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  <w:rtl/>
        </w:rPr>
      </w:pPr>
      <w:r w:rsidRPr="00750F97">
        <w:rPr>
          <w:rFonts w:ascii="Sakkal Majalla" w:hAnsi="Sakkal Majalla" w:cs="Sakkal Majalla"/>
          <w:sz w:val="28"/>
          <w:szCs w:val="28"/>
          <w:rtl/>
        </w:rPr>
        <w:t xml:space="preserve">المصلحة المرسلة ظنية الدلالة مثل القياس، ولكنها أضعف منه في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ظنيتها،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لأن القياس له شاهد من الشريعة هو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المقيس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عليه،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وهذه لا شاهد لها إلا القواعد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العامة،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 ولذلك فإن القياس مقدم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عليها،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وبالتالي نصوص  القرآن الكريم والسنة الشريفة والإجماع مقدمة عليها أيضا من باب </w:t>
      </w:r>
      <w:proofErr w:type="spellStart"/>
      <w:r w:rsidRPr="00750F97">
        <w:rPr>
          <w:rFonts w:ascii="Sakkal Majalla" w:hAnsi="Sakkal Majalla" w:cs="Sakkal Majalla"/>
          <w:sz w:val="28"/>
          <w:szCs w:val="28"/>
          <w:rtl/>
        </w:rPr>
        <w:t>أولى،</w:t>
      </w:r>
      <w:proofErr w:type="spellEnd"/>
      <w:r w:rsidRPr="00750F97">
        <w:rPr>
          <w:rFonts w:ascii="Sakkal Majalla" w:hAnsi="Sakkal Majalla" w:cs="Sakkal Majalla"/>
          <w:sz w:val="28"/>
          <w:szCs w:val="28"/>
          <w:rtl/>
        </w:rPr>
        <w:t xml:space="preserve"> وهكذا تأتي المصالح المرسلة في الدرجة التالية للقياس في ترتيبها بين مصادر التشريع الأخرى.</w:t>
      </w:r>
    </w:p>
    <w:p w:rsidR="00750F97" w:rsidRPr="00750F97" w:rsidRDefault="00750F97" w:rsidP="002C7058">
      <w:pPr>
        <w:autoSpaceDE w:val="0"/>
        <w:autoSpaceDN w:val="0"/>
        <w:adjustRightInd w:val="0"/>
        <w:spacing w:after="0" w:line="240" w:lineRule="auto"/>
        <w:ind w:left="540" w:hanging="540"/>
        <w:jc w:val="lowKashida"/>
        <w:rPr>
          <w:rFonts w:ascii="Sakkal Majalla" w:hAnsi="Sakkal Majalla" w:cs="Sakkal Majalla"/>
          <w:sz w:val="28"/>
          <w:szCs w:val="28"/>
        </w:rPr>
      </w:pPr>
    </w:p>
    <w:p w:rsidR="00ED31C6" w:rsidRPr="002C7058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MV Boli" w:hAnsi="MV Boli" w:cs="Times New Roman"/>
          <w:sz w:val="24"/>
          <w:szCs w:val="24"/>
        </w:rPr>
      </w:pPr>
      <w:r>
        <w:rPr>
          <w:rFonts w:ascii="Times New Roman" w:hAnsi="Times New Roman" w:cs="PT Bold Broken" w:hint="cs"/>
          <w:sz w:val="24"/>
          <w:szCs w:val="24"/>
          <w:rtl/>
        </w:rPr>
        <w:t xml:space="preserve">ـــــــــــــــــــــــــــــــــــــــــــــ </w:t>
      </w:r>
      <w:r>
        <w:rPr>
          <w:rFonts w:ascii="MV Boli" w:hAnsi="MV Boli" w:cs="Times New Roman" w:hint="cs"/>
          <w:sz w:val="24"/>
          <w:szCs w:val="24"/>
          <w:rtl/>
        </w:rPr>
        <w:t xml:space="preserve">موفقين </w:t>
      </w:r>
      <w:proofErr w:type="spellStart"/>
      <w:r>
        <w:rPr>
          <w:rFonts w:ascii="MV Boli" w:hAnsi="MV Boli" w:cs="Times New Roman"/>
          <w:sz w:val="24"/>
          <w:szCs w:val="24"/>
        </w:rPr>
        <w:t>n</w:t>
      </w:r>
      <w:r w:rsidR="00750F97">
        <w:rPr>
          <w:rFonts w:ascii="MV Boli" w:hAnsi="MV Boli" w:cs="Times New Roman"/>
          <w:sz w:val="24"/>
          <w:szCs w:val="24"/>
        </w:rPr>
        <w:t>aa</w:t>
      </w:r>
      <w:r>
        <w:rPr>
          <w:rFonts w:ascii="MV Boli" w:hAnsi="MV Boli" w:cs="Times New Roman"/>
          <w:sz w:val="24"/>
          <w:szCs w:val="24"/>
        </w:rPr>
        <w:t>al</w:t>
      </w:r>
      <w:proofErr w:type="spellEnd"/>
    </w:p>
    <w:p w:rsidR="002C7058" w:rsidRPr="002C7058" w:rsidRDefault="002C7058" w:rsidP="002C7058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Times New Roman" w:hAnsi="Times New Roman" w:cs="PT Bold Broken"/>
          <w:sz w:val="24"/>
          <w:szCs w:val="24"/>
          <w:rtl/>
        </w:rPr>
      </w:pPr>
    </w:p>
    <w:p w:rsidR="001D64DC" w:rsidRPr="00ED31C6" w:rsidRDefault="001D64DC">
      <w:pPr>
        <w:rPr>
          <w:rFonts w:hAnsi="Times New Roman"/>
          <w:sz w:val="24"/>
          <w:szCs w:val="24"/>
        </w:rPr>
      </w:pPr>
    </w:p>
    <w:sectPr w:rsidR="001D64DC" w:rsidRPr="00ED31C6" w:rsidSect="000E54DF">
      <w:footerReference w:type="default" r:id="rId7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05C" w:rsidRDefault="00A8205C" w:rsidP="00750F97">
      <w:pPr>
        <w:spacing w:after="0" w:line="240" w:lineRule="auto"/>
      </w:pPr>
      <w:r>
        <w:separator/>
      </w:r>
    </w:p>
  </w:endnote>
  <w:endnote w:type="continuationSeparator" w:id="0">
    <w:p w:rsidR="00A8205C" w:rsidRDefault="00A8205C" w:rsidP="00750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87687"/>
      <w:docPartObj>
        <w:docPartGallery w:val="Page Numbers (Bottom of Page)"/>
        <w:docPartUnique/>
      </w:docPartObj>
    </w:sdtPr>
    <w:sdtContent>
      <w:p w:rsidR="00750F97" w:rsidRDefault="00017B30">
        <w:pPr>
          <w:pStyle w:val="a5"/>
        </w:pPr>
        <w:r>
          <w:rPr>
            <w:noProof/>
            <w:lang w:eastAsia="zh-TW"/>
          </w:rPr>
          <w:pict>
            <v:group id="_x0000_s2049" style="position:absolute;left:0;text-align:left;margin-left:0;margin-top:0;width:36pt;height:27.4pt;flip:x;z-index:251660288;mso-position-horizontal:center;mso-position-horizontal-relative:right-margin-area;mso-position-vertical:center;mso-position-vertical-relative:bottom-margin-area" coordorigin="10104,14464" coordsize="720,548">
              <v:rect id="_x0000_s2050" style="position:absolute;left:10190;top:14378;width:548;height:720;rotation:-6319877fd" fillcolor="white [3212]" strokecolor="#737373 [1789]"/>
              <v:rect id="_x0000_s2051" style="position:absolute;left:10190;top:14378;width:548;height:720;rotation:-5392141fd" fillcolor="white [3212]" strokecolor="#737373 [1789]"/>
              <v:rect id="_x0000_s2052" style="position:absolute;left:10190;top:14378;width:548;height:720;rotation:270" fillcolor="white [3212]" strokecolor="#737373 [1789]">
                <v:textbox style="mso-next-textbox:#_x0000_s2052">
                  <w:txbxContent>
                    <w:p w:rsidR="00750F97" w:rsidRDefault="00017B30">
                      <w:pPr>
                        <w:pStyle w:val="a5"/>
                        <w:jc w:val="center"/>
                      </w:pPr>
                      <w:fldSimple w:instr=" PAGE    \* MERGEFORMAT ">
                        <w:r w:rsidR="001C5287" w:rsidRPr="001C5287">
                          <w:rPr>
                            <w:rFonts w:cs="Calibri"/>
                            <w:noProof/>
                            <w:rtl/>
                            <w:lang w:val="ar-SA"/>
                          </w:rPr>
                          <w:t>1</w:t>
                        </w:r>
                      </w:fldSimple>
                    </w:p>
                  </w:txbxContent>
                </v:textbox>
              </v:rect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05C" w:rsidRDefault="00A8205C" w:rsidP="00750F97">
      <w:pPr>
        <w:spacing w:after="0" w:line="240" w:lineRule="auto"/>
      </w:pPr>
      <w:r>
        <w:separator/>
      </w:r>
    </w:p>
  </w:footnote>
  <w:footnote w:type="continuationSeparator" w:id="0">
    <w:p w:rsidR="00A8205C" w:rsidRDefault="00A8205C" w:rsidP="00750F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C761B8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"/>
        <w:legacy w:legacy="1" w:legacySpace="0" w:legacyIndent="0"/>
        <w:lvlJc w:val="right"/>
        <w:rPr>
          <w:rFonts w:ascii="Wingdings" w:hAnsi="Wingdings" w:hint="default"/>
          <w:sz w:val="38"/>
        </w:rPr>
      </w:lvl>
    </w:lvlOverride>
  </w:num>
  <w:num w:numId="2">
    <w:abstractNumId w:val="0"/>
    <w:lvlOverride w:ilvl="0">
      <w:lvl w:ilvl="0">
        <w:numFmt w:val="bullet"/>
        <w:lvlText w:val=""/>
        <w:legacy w:legacy="1" w:legacySpace="0" w:legacyIndent="0"/>
        <w:lvlJc w:val="right"/>
        <w:rPr>
          <w:rFonts w:ascii="Wingdings" w:hAnsi="Wingdings" w:hint="default"/>
          <w:sz w:val="48"/>
        </w:rPr>
      </w:lvl>
    </w:lvlOverride>
  </w:num>
  <w:num w:numId="3">
    <w:abstractNumId w:val="0"/>
    <w:lvlOverride w:ilvl="0">
      <w:lvl w:ilvl="0">
        <w:numFmt w:val="bullet"/>
        <w:lvlText w:val=""/>
        <w:legacy w:legacy="1" w:legacySpace="0" w:legacyIndent="0"/>
        <w:lvlJc w:val="right"/>
        <w:rPr>
          <w:rFonts w:ascii="Wingdings" w:hAnsi="Wingdings" w:hint="default"/>
          <w:sz w:val="48"/>
        </w:rPr>
      </w:lvl>
    </w:lvlOverride>
  </w:num>
  <w:num w:numId="4">
    <w:abstractNumId w:val="0"/>
    <w:lvlOverride w:ilvl="0">
      <w:lvl w:ilvl="0">
        <w:numFmt w:val="bullet"/>
        <w:lvlText w:val=""/>
        <w:legacy w:legacy="1" w:legacySpace="0" w:legacyIndent="0"/>
        <w:lvlJc w:val="right"/>
        <w:rPr>
          <w:rFonts w:ascii="Wingdings" w:hAnsi="Wingdings" w:hint="default"/>
          <w:sz w:val="48"/>
        </w:rPr>
      </w:lvl>
    </w:lvlOverride>
  </w:num>
  <w:num w:numId="5">
    <w:abstractNumId w:val="0"/>
    <w:lvlOverride w:ilvl="0">
      <w:lvl w:ilvl="0">
        <w:numFmt w:val="bullet"/>
        <w:lvlText w:val=""/>
        <w:legacy w:legacy="1" w:legacySpace="0" w:legacyIndent="0"/>
        <w:lvlJc w:val="right"/>
        <w:rPr>
          <w:rFonts w:ascii="Wingdings" w:hAnsi="Wingdings" w:hint="default"/>
          <w:sz w:val="48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D31C6"/>
    <w:rsid w:val="00017B30"/>
    <w:rsid w:val="0003449F"/>
    <w:rsid w:val="001C5287"/>
    <w:rsid w:val="001D64DC"/>
    <w:rsid w:val="002C7058"/>
    <w:rsid w:val="003E4F28"/>
    <w:rsid w:val="00497DFE"/>
    <w:rsid w:val="00750F97"/>
    <w:rsid w:val="00A8205C"/>
    <w:rsid w:val="00ED3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31C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50F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50F97"/>
  </w:style>
  <w:style w:type="paragraph" w:styleId="a5">
    <w:name w:val="footer"/>
    <w:basedOn w:val="a"/>
    <w:link w:val="Char0"/>
    <w:uiPriority w:val="99"/>
    <w:unhideWhenUsed/>
    <w:rsid w:val="00750F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50F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1257</Words>
  <Characters>7168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OS</cp:lastModifiedBy>
  <cp:revision>3</cp:revision>
  <dcterms:created xsi:type="dcterms:W3CDTF">2014-02-18T21:02:00Z</dcterms:created>
  <dcterms:modified xsi:type="dcterms:W3CDTF">2014-02-18T21:46:00Z</dcterms:modified>
</cp:coreProperties>
</file>