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136" w:rsidRPr="00BF0136" w:rsidRDefault="00BF0136" w:rsidP="00BF0136">
      <w:pPr>
        <w:jc w:val="right"/>
        <w:rPr>
          <w:rFonts w:ascii="Traditional Arabic" w:hAnsi="Traditional Arabic" w:cs="Traditional Arabic"/>
          <w:sz w:val="28"/>
          <w:szCs w:val="28"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     </w:t>
      </w:r>
      <w:r w:rsidRPr="00BF0136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(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اصول الفقه 3 -</w:t>
      </w:r>
      <w:r w:rsidRPr="00BF0136">
        <w:rPr>
          <w:rFonts w:ascii="Traditional Arabic" w:hAnsi="Traditional Arabic" w:cs="Traditional Arabic"/>
          <w:b/>
          <w:bCs/>
          <w:sz w:val="28"/>
          <w:szCs w:val="28"/>
          <w:rtl/>
        </w:rPr>
        <w:t>المحاضـــــرة الثامنة )</w:t>
      </w:r>
    </w:p>
    <w:p w:rsidR="00BF0136" w:rsidRDefault="00BF0136" w:rsidP="00BF0136">
      <w:pPr>
        <w:jc w:val="center"/>
        <w:rPr>
          <w:rFonts w:ascii="Traditional Arabic" w:hAnsi="Traditional Arabic" w:cs="PT Bold Heading" w:hint="cs"/>
          <w:sz w:val="28"/>
          <w:szCs w:val="28"/>
          <w:u w:val="single"/>
          <w:rtl/>
        </w:rPr>
      </w:pPr>
      <w:r w:rsidRPr="00BF0136">
        <w:rPr>
          <w:rFonts w:ascii="Traditional Arabic" w:hAnsi="Traditional Arabic" w:cs="PT Bold Heading"/>
          <w:sz w:val="28"/>
          <w:szCs w:val="28"/>
          <w:u w:val="single"/>
          <w:rtl/>
        </w:rPr>
        <w:t>( سد الذرائع - النسخ )</w:t>
      </w:r>
    </w:p>
    <w:p w:rsidR="00BF0136" w:rsidRPr="00BF0136" w:rsidRDefault="00BF0136" w:rsidP="00BF0136">
      <w:pPr>
        <w:jc w:val="center"/>
        <w:rPr>
          <w:rFonts w:ascii="Traditional Arabic" w:hAnsi="Traditional Arabic" w:cs="PT Bold Heading"/>
          <w:sz w:val="28"/>
          <w:szCs w:val="28"/>
          <w:u w:val="single"/>
          <w:rtl/>
        </w:rPr>
      </w:pP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وعلى هذا فالمالكية لم ينفردوا بالأخذ بسد الذرائع كما قيل عنهم ، وإنما أخذوا بهذا الأصل أكثر من غيرهم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وفي هذا يقول الفقيه القرافي المالكي : (( وأما الذرائع ، فقد أجمع العلماء على أنها ثلاثة أقسام :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b/>
          <w:bCs/>
          <w:sz w:val="28"/>
          <w:szCs w:val="28"/>
          <w:rtl/>
        </w:rPr>
        <w:t>أحدهما :</w:t>
      </w: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معتبر إجماعًا 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- كحفر الآبار في طرق المسلمين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- وإلقاء السم في أطعمتهم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- وسب الأصنام عند من يعلم من حاله أنه يسب الله تعالى . 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</w:rPr>
      </w:pPr>
      <w:r w:rsidRPr="00BF0136">
        <w:rPr>
          <w:rFonts w:ascii="Traditional Arabic" w:hAnsi="Traditional Arabic" w:cs="Traditional Arabic"/>
          <w:b/>
          <w:bCs/>
          <w:sz w:val="28"/>
          <w:szCs w:val="28"/>
          <w:rtl/>
        </w:rPr>
        <w:t>ثانيها :</w:t>
      </w: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ملغي إجماعًا ، كزراعة العنب فإنه لا يمنع خشية الخمر 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b/>
          <w:bCs/>
          <w:sz w:val="28"/>
          <w:szCs w:val="28"/>
          <w:rtl/>
        </w:rPr>
        <w:t>ثالثها :</w:t>
      </w: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مختلف فيه ، كبيوع الآجال ، اعتبرنا نحن الذريعة فيها ،.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اعتبرنا نحن الذريعة وخالفنا غيرنا . فحاصل القضية أننا قلنا بسد الذرائع أكثر من غيرنا ، لا أنها خاصة بنا . 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ولكن مع هذا يبقى المالكية والحنابلة منفردين في اعتبار سد الذرائع أصلاً مستقلاً من أصول الأحكام ، وبالتالي يكونون أكثر من غيرهم أخذاً بها ، وبناء الأحكام القائمة على هذا الأصل . </w:t>
      </w:r>
    </w:p>
    <w:p w:rsidR="00F47BEF" w:rsidRPr="00BF0136" w:rsidRDefault="00BF0136" w:rsidP="00BF0136">
      <w:pPr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BF0136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سد الذرائع ، والمصالح المرسلة : </w:t>
      </w:r>
    </w:p>
    <w:p w:rsidR="00000000" w:rsidRPr="00BF0136" w:rsidRDefault="005D3FA6" w:rsidP="00BF0136">
      <w:pPr>
        <w:numPr>
          <w:ilvl w:val="0"/>
          <w:numId w:val="1"/>
        </w:numPr>
        <w:rPr>
          <w:rFonts w:ascii="Traditional Arabic" w:hAnsi="Traditional Arabic" w:cs="Traditional Arabic"/>
          <w:sz w:val="28"/>
          <w:szCs w:val="28"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أصل سد الذرائع يؤكد أصل المصالح ، ويوثقه ويشد أزره ، لأنه يمنع الأسباب والوسائل </w:t>
      </w:r>
      <w:proofErr w:type="spellStart"/>
      <w:r w:rsidRPr="00BF0136">
        <w:rPr>
          <w:rFonts w:ascii="Traditional Arabic" w:hAnsi="Traditional Arabic" w:cs="Traditional Arabic"/>
          <w:sz w:val="28"/>
          <w:szCs w:val="28"/>
          <w:rtl/>
        </w:rPr>
        <w:t>المفضية</w:t>
      </w:r>
      <w:proofErr w:type="spellEnd"/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إلى المفاسد ، وهذا وجه أكيد من وجوه المصلحة ، فهو إذن متمم لأصل المصلحة ومكمل له ، بل وقد تعتبر بعض صور سد الذرائع من صور المصالح المرسلة . </w:t>
      </w:r>
    </w:p>
    <w:p w:rsidR="00000000" w:rsidRPr="00BF0136" w:rsidRDefault="005D3FA6" w:rsidP="00BF0136">
      <w:pPr>
        <w:numPr>
          <w:ilvl w:val="0"/>
          <w:numId w:val="1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- ولهذا نرى من أخذ بمبدأ المصلحة ، وحمل لواءه ، وهم المالكية ومن تابعهم ، أخذوا أيضاً بالذرائع فقالوا بسدها إذا أدت إلى مفسدة ، وبفتحها إذا أدت إلى مصلحة راجحة ، ولو كانت الوسيلة بذاتها محرمة . </w:t>
      </w:r>
    </w:p>
    <w:p w:rsidR="00000000" w:rsidRPr="00BF0136" w:rsidRDefault="005D3FA6" w:rsidP="00BF0136">
      <w:pPr>
        <w:numPr>
          <w:ilvl w:val="0"/>
          <w:numId w:val="2"/>
        </w:numPr>
        <w:rPr>
          <w:rFonts w:ascii="Traditional Arabic" w:hAnsi="Traditional Arabic" w:cs="Traditional Arabic"/>
          <w:sz w:val="28"/>
          <w:szCs w:val="28"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ولذلك أجازوا للدولة الإسلامية أن تدفع مالاً لدولة العدو اتقاء لشرها إذا كانت الدولة الإسلامية ضعيفة . 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lastRenderedPageBreak/>
        <w:t xml:space="preserve">- وقالوا بجواز دفع المال على سبيل الرشوة إذا تعينت طريقاً لدفع ظلم أو معصية ، ضررها أشد من ضرر دفع المال . </w:t>
      </w:r>
    </w:p>
    <w:p w:rsidR="00000000" w:rsidRPr="00BF0136" w:rsidRDefault="005D3FA6" w:rsidP="00BF0136">
      <w:pPr>
        <w:numPr>
          <w:ilvl w:val="0"/>
          <w:numId w:val="3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- وقالوا بجواز دفع المال للدولة المحاربة فداء للأسرى من المسلمين ، مع أن دفع المال للدولة المحاربة لا يجوز ، ولكنه جاز هنا لدفع ضرر أكبر أو لجلب مصلحة أكبر .</w:t>
      </w:r>
    </w:p>
    <w:p w:rsidR="00BF0136" w:rsidRPr="00BF0136" w:rsidRDefault="00BF0136" w:rsidP="00BF0136">
      <w:pPr>
        <w:jc w:val="center"/>
        <w:rPr>
          <w:rFonts w:ascii="Traditional Arabic" w:hAnsi="Traditional Arabic" w:cs="PT Bold Heading"/>
          <w:sz w:val="28"/>
          <w:szCs w:val="28"/>
          <w:rtl/>
        </w:rPr>
      </w:pPr>
      <w:r w:rsidRPr="00BF0136">
        <w:rPr>
          <w:rFonts w:ascii="Traditional Arabic" w:hAnsi="Traditional Arabic" w:cs="PT Bold Heading"/>
          <w:sz w:val="28"/>
          <w:szCs w:val="28"/>
          <w:rtl/>
        </w:rPr>
        <w:t>( النســـــــخ )</w:t>
      </w:r>
    </w:p>
    <w:p w:rsidR="00BF0136" w:rsidRPr="00BF0136" w:rsidRDefault="00BF0136" w:rsidP="00BF0136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b/>
          <w:bCs/>
          <w:sz w:val="28"/>
          <w:szCs w:val="28"/>
          <w:rtl/>
        </w:rPr>
        <w:t>تعريفه :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</w:t>
      </w:r>
      <w:r w:rsidRPr="00BF0136">
        <w:rPr>
          <w:rFonts w:ascii="Traditional Arabic" w:hAnsi="Traditional Arabic" w:cs="Traditional Arabic"/>
          <w:b/>
          <w:bCs/>
          <w:sz w:val="28"/>
          <w:szCs w:val="28"/>
          <w:rtl/>
        </w:rPr>
        <w:t>النسخ لغة :</w:t>
      </w: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الإزالة والنقل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أما المعني الأول فمنه قولهم : نسخت الشمس الظل – يعني أزالته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وقوله : ( النقل ) :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ومنه نسخت الكتاب – وما أزلته – ولكنك نقلته</w:t>
      </w:r>
    </w:p>
    <w:p w:rsidR="00BF0136" w:rsidRPr="00BF0136" w:rsidRDefault="00BF0136" w:rsidP="00BF0136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b/>
          <w:bCs/>
          <w:sz w:val="28"/>
          <w:szCs w:val="28"/>
          <w:rtl/>
        </w:rPr>
        <w:t>والنسخ اصطلاحا :</w:t>
      </w: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رفع حكم دليل شرعي أو لفظه بدليله من الكتاب والسنة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فالمراد بقولنا : « رفع الحكم » أي تغيره من إيجاب إلي إباحة ، أو من إباحة إلي تحريم مثلا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فخرج بذلك تخلف الحكم لفوات شرط ، أو وجود مانع ، مثل أن يرتفع وجوب الزكاة لنقص النصاب ، أو وجوب الصلاة لوجود الحيض ، فلا يسمي ذلك نسخا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فالمراد بقولنا : « أو لفظه » : لفظ الدليل الشرعي ، لأن النسخ إما أن يكون للحكم دون اللفظ ، أو بالعكس ، أو لهما جميعا – كما سيأتي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وخرج بقولنا : « بدليل من الكتاب والسنة » ما عداهما من الأدلة كالإجماع والقياس فلا ينسخ بهما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فلا يكون الإجماع منسوخا لأن الإجماع لا ينعقد إلا بعد وفاة النبي - صلي الله عليه وسلم - وبعد وفاة النبي - صلي الله عليه وسلم - انقطع مورد النص ، وقد علم أنه لا نسخ إلا بنص فيستحيل نسخ الإجماع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 وكذلك لا يكون الإجماع ناسخا لأن الإجماع لا ينعقد إلا بعد وفاة النبي - صلي الله عليه وسلم - ولا نسخ بعد وفاته - صلي الله عليه   وسلم -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فلو أجمع المسلمون على مخالفة نص كان هذا الإجماع دليلا على نص آخر هو الناسخ للنص المخالف ، لأن الإجماع لا بد وأن يستند إلي نص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lastRenderedPageBreak/>
        <w:t xml:space="preserve">   ولا يمكن أن يوجد إجماع صحيح على خلاف نص أبدا ، بحيث نقول : إن الإجماع رفع الحكم ، لكن نقوله لئلا يدعي مدع أو يلتبس عليه الأمر ، فيقول : أن الإجماع ينسخ به .</w:t>
      </w:r>
    </w:p>
    <w:p w:rsidR="00BF0136" w:rsidRPr="00BF0136" w:rsidRDefault="00BF0136" w:rsidP="00BF0136">
      <w:pPr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BF0136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حكمة وقوع النسخ : 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إن النسخ في الشريعة الإسلامية بوجه عام وسيلة من أعظم الوسائل التربوية الحكيمة، فهو نوع من التدرج في التشريع ، روعي فيه مصالح العباد في العاجل والآجل ؛ فإن من الأمور التكليفية ما يصلح في وقت دون وقت ، وفي حال دون حال ، فأخذ الله عباده بالحكمة في وقت كان الناس فيه يعانون من انحلال خلقي واجتماعي يصعب عليهم التخلص منه دفعة واحدة ، كما يصعب عليهم أن يتحملوا في بداية أمرهم بالإسلام جميع التكاليف التي أناطها بهم ، ولم يكن من الحكمة أخذهم بالشدة والعنف في وقت كانوا فيه في ضلالة عمياء ، وجهالة ، وتعلق شديد بعبادات سيئة ، ومعتقدات فاسدة ، فكان النسخ في بعض الأحكام الشرعية معالجة لتلك النفوس الجامحة ، حتى تتخلص من أوزارها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وكذلك النسخ في القرآن الكريم كان لحكمة من الله العليم الحكيم ، علمها من علمها، وجهلها من جهلها ، وعدم العلم بالشيء لا يعني العدم ، ولسنا مكلفين بمعرفة الحكمة من كل تشريع ؛ إلا أن البحث عنها مما يزيد القلب طمأنينة بسلامة هذا القرآن ، وخلوه من التناقض والاختلاف ، والخلل والانحراف ، وصلاحيته لكل زمان ومكان</w:t>
      </w:r>
    </w:p>
    <w:p w:rsidR="00BF0136" w:rsidRPr="00BF0136" w:rsidRDefault="00BF0136" w:rsidP="00BF0136">
      <w:pPr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BF0136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الفرق بين النسخ والتخصيص :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يجتمع النسخ مع التخصيص في سلب ما تناوله اللفظ من العموم ، ويفترقان في أمور . منها :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1-    النسخ يشترط تراخيه ، بخلاف التخصيص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2- النسخ لا يكون إلا بخطاب ، والتخصيص يجوز بأدلة العقل والقرائن ، كما في قوله :] تدمر كل شيء [ (1)ونحو :]وأوتيت من كل شيء [ (2)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3-    النسخ لا يدخل الأخبار والتخصيص يدخلها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4-    النسخ لا يبقي معه دلالة اللفظ على ما تحته ، والتخصيص ينتفي معه ذلك</w:t>
      </w:r>
    </w:p>
    <w:p w:rsidR="00BF0136" w:rsidRDefault="00BF0136" w:rsidP="00BF0136">
      <w:pPr>
        <w:rPr>
          <w:rFonts w:ascii="Traditional Arabic" w:hAnsi="Traditional Arabic" w:cs="Traditional Arabic" w:hint="cs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هذا وقد حقق العلامة شمس الدين ابن القيم أنه لا فرق عند السلف بين التخصيص والنسخ . والراجح الأول لا اختلاف معناهما في اللغة .</w:t>
      </w:r>
    </w:p>
    <w:p w:rsidR="00BF0136" w:rsidRDefault="00BF0136" w:rsidP="00BF0136">
      <w:pPr>
        <w:rPr>
          <w:rFonts w:ascii="Traditional Arabic" w:hAnsi="Traditional Arabic" w:cs="Traditional Arabic" w:hint="cs"/>
          <w:sz w:val="28"/>
          <w:szCs w:val="28"/>
          <w:rtl/>
        </w:rPr>
      </w:pP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</w:p>
    <w:p w:rsidR="00BF0136" w:rsidRPr="00BF0136" w:rsidRDefault="00BF0136" w:rsidP="00BF0136">
      <w:pPr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BF0136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lastRenderedPageBreak/>
        <w:t>جواز النسخ ووقوعه :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أجمع المسلمون – ما عدا أبا مسلم الأصفهاني من المعتزلة – على جواز النسخ عقلا ووقوعه شرعا ،أما العقل فلأنه لا يمنع أن يكون الشيء صالحا في زمن دون زمن ، كالطبيب يصف دواء ، ثم يمنعه ، ويعطي دواء آخر ، وهو يعلم عند وصفه الدواء ، أنه مؤقت لمصلحة المريض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وأما الشرع فلقوله – تعالي -:] ما ننسخ من أية أو ننسها نأت بخير منها أو مثلها [(3)،وبقوله – تعالي -: ] وإذا بدلنا أية مكان أية [ (4) ، وقد نسخ التوجه إلي بيت المقدس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وقد أجمع المسلمون على أن شريعتنا ناسخة لما خالفها من شرائع الأنبياء ، وأنكر اليهود وأبو مسلم الأصفهاني النسخ محتجين بأنه يؤدي إلي سبق الجهل إن كان النسخ لحكمة ظهرت بعد التشريع الأول ، ويؤدي إلي العبث إن كان لغير حكمة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وهذا فاسد لما ذكرنا من دليل العقل والشرع ، ولأنا نمنع أن يكون لحكمة ظهرت بعد التشريع الأول ، بل الله يعلم قبل الأمر الأول أنه سيبدله لحكمته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ولأن النسخ وقع في نفس التوراة فقد ذكرت أن آدم كان يزوج بناته من بنيه ، ويعقوب قد جمع بين الأختين وهو محرم في شرائع من بعدهما من الأنبياء .</w:t>
      </w:r>
    </w:p>
    <w:p w:rsidR="00BF0136" w:rsidRPr="007202D9" w:rsidRDefault="00BF0136" w:rsidP="00BF0136">
      <w:pPr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7202D9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ما يمتنع نسخه :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1- الأخبار ، لأن النسخ محله الحكم ، ولأن نسخ أحد الخبرين يستلزم أن يكون أحدهما كاذبا ، والكذب مستحيل في أخبار الله ورسوله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2- الأحكام التي تكون مصلحة في كل زمان ومكان : كالتوحيد وأصول الإيمان وأصول العبادات ، ومكارم الأخلاق ، من الصدق والعفاف والكرم والشجاعة ، ونحو ذلك ، فلا يمكن نسخ الأمر بها ، وكذلك لا يمكن نسخ النهي عما هو قبيح في كل زمان ومكان : كالشرك والكفر ومساوئ الأخلاق من الكذب والفجور والبخل والجبن ، ونحو ذلك ، إذ الشرائع كلها لمصالح العباد ودفع المفاسد عنهم .</w:t>
      </w:r>
    </w:p>
    <w:p w:rsidR="00BF0136" w:rsidRPr="007202D9" w:rsidRDefault="00BF0136" w:rsidP="00BF0136">
      <w:pPr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7202D9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النسخ قبل التمكن من الامتثال :</w:t>
      </w:r>
      <w:bookmarkStart w:id="0" w:name="_GoBack"/>
      <w:bookmarkEnd w:id="0"/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ذهب أهل السنة إلي جواز لنسخ قبل التمكن من الامتثال ، واحتجوا بقصة ذبح إسماعيل – عليه السلام -، فإن الله أبطل ذبحه قبل فعله ، بقوله – تعالي -:]وفدينه بذبح عظيم[(5)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lastRenderedPageBreak/>
        <w:t xml:space="preserve">   وقد أنكر المعتزلة ذلك قائلين : إنه يفضي إلي إن يكون الشيء الواحد حسنا قبيحا ، إذ أمره به دليل على حسنه ، وإبطاله دليل قبحه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وحاولوا تأويل قصة الذبح بأنه كان مناما لا أصل له ، أو بأنه كلف العزم على الفعل – فقط – لامتحان صبره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وهذا فاسد لأنه مبني على قاعدة التحسين والتقبيح العقليين ، وهي غير مسلمة لهم ، ولو سلم لهم هذا لكان دليلا على إنكار النسخ بالكلية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وهذه التأويلات التي أولها هؤلاء القدرية فاسدة ، لأنه لو صح شيء منها لم يحتج إلي فداء .</w:t>
      </w:r>
    </w:p>
    <w:p w:rsidR="00BF0136" w:rsidRPr="00BF0136" w:rsidRDefault="00BF0136" w:rsidP="00BF0136">
      <w:pPr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 xml:space="preserve">   و منامات الأنبياء وحي ، ولو كان للأمر أصل له ما جاز لإبراهيم قصد الذبح . وقولهم : كلف إبراهيم بالعزم ولم يكلف بالذبح غير صحيح لقوله : ] إني أري في المنام أني أذبحك[ولم يقل : إني عازم على ذبحك .</w:t>
      </w:r>
    </w:p>
    <w:p w:rsidR="00BF0136" w:rsidRPr="00BF0136" w:rsidRDefault="00BF0136" w:rsidP="00BF0136">
      <w:pPr>
        <w:jc w:val="center"/>
        <w:rPr>
          <w:rFonts w:ascii="Traditional Arabic" w:hAnsi="Traditional Arabic" w:cs="Traditional Arabic"/>
          <w:sz w:val="28"/>
          <w:szCs w:val="28"/>
          <w:rtl/>
        </w:rPr>
      </w:pPr>
      <w:r w:rsidRPr="00BF0136">
        <w:rPr>
          <w:rFonts w:ascii="Traditional Arabic" w:hAnsi="Traditional Arabic" w:cs="Traditional Arabic"/>
          <w:sz w:val="28"/>
          <w:szCs w:val="28"/>
          <w:rtl/>
        </w:rPr>
        <w:t>ــــــــــــــــــــــــــــــــــــــــــــ</w:t>
      </w:r>
      <w:r>
        <w:rPr>
          <w:rFonts w:ascii="Traditional Arabic" w:hAnsi="Traditional Arabic" w:cs="Traditional Arabic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</w:t>
      </w:r>
    </w:p>
    <w:p w:rsidR="00BF0136" w:rsidRPr="007202D9" w:rsidRDefault="00BF0136" w:rsidP="00BF0136">
      <w:pPr>
        <w:jc w:val="right"/>
        <w:rPr>
          <w:rFonts w:ascii="MV Boli" w:hAnsi="MV Boli" w:cs="MV Boli"/>
        </w:rPr>
      </w:pPr>
      <w:r w:rsidRPr="007202D9">
        <w:rPr>
          <w:rFonts w:ascii="Times New Roman" w:hAnsi="Times New Roman" w:cs="Times New Roman" w:hint="cs"/>
          <w:rtl/>
        </w:rPr>
        <w:t>موفقين</w:t>
      </w:r>
      <w:r w:rsidRPr="007202D9">
        <w:rPr>
          <w:rFonts w:ascii="MV Boli" w:hAnsi="MV Boli" w:cs="MV Boli"/>
          <w:rtl/>
        </w:rPr>
        <w:t xml:space="preserve"> ... </w:t>
      </w:r>
      <w:r w:rsidRPr="007202D9">
        <w:rPr>
          <w:rFonts w:ascii="MV Boli" w:hAnsi="MV Boli" w:cs="MV Boli"/>
        </w:rPr>
        <w:t>nal</w:t>
      </w:r>
    </w:p>
    <w:sectPr w:rsidR="00BF0136" w:rsidRPr="007202D9" w:rsidSect="00BF0136">
      <w:footerReference w:type="default" r:id="rId8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FA6" w:rsidRDefault="005D3FA6" w:rsidP="007202D9">
      <w:pPr>
        <w:spacing w:after="0" w:line="240" w:lineRule="auto"/>
      </w:pPr>
      <w:r>
        <w:separator/>
      </w:r>
    </w:p>
  </w:endnote>
  <w:endnote w:type="continuationSeparator" w:id="0">
    <w:p w:rsidR="005D3FA6" w:rsidRDefault="005D3FA6" w:rsidP="00720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6798621"/>
      <w:docPartObj>
        <w:docPartGallery w:val="Page Numbers (Bottom of Page)"/>
        <w:docPartUnique/>
      </w:docPartObj>
    </w:sdtPr>
    <w:sdtContent>
      <w:p w:rsidR="007202D9" w:rsidRDefault="007202D9">
        <w:pPr>
          <w:pStyle w:val="a4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202D9">
          <w:rPr>
            <w:noProof/>
            <w:rtl/>
            <w:lang w:val="ar-SA"/>
          </w:rPr>
          <w:t>4</w:t>
        </w:r>
        <w:r>
          <w:fldChar w:fldCharType="end"/>
        </w:r>
      </w:p>
    </w:sdtContent>
  </w:sdt>
  <w:p w:rsidR="007202D9" w:rsidRDefault="007202D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FA6" w:rsidRDefault="005D3FA6" w:rsidP="007202D9">
      <w:pPr>
        <w:spacing w:after="0" w:line="240" w:lineRule="auto"/>
      </w:pPr>
      <w:r>
        <w:separator/>
      </w:r>
    </w:p>
  </w:footnote>
  <w:footnote w:type="continuationSeparator" w:id="0">
    <w:p w:rsidR="005D3FA6" w:rsidRDefault="005D3FA6" w:rsidP="007202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B3A69"/>
    <w:multiLevelType w:val="hybridMultilevel"/>
    <w:tmpl w:val="F9CCA7D6"/>
    <w:lvl w:ilvl="0" w:tplc="694846F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EC8EC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12522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7C2F2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330C2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D947EA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F08A0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C229F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4C8B23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5CFF6F4B"/>
    <w:multiLevelType w:val="hybridMultilevel"/>
    <w:tmpl w:val="B0E24A90"/>
    <w:lvl w:ilvl="0" w:tplc="FF0AED9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C2DF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2AA12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1C0505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D36202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5CCC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F2D5E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736024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AA88A8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696517FD"/>
    <w:multiLevelType w:val="hybridMultilevel"/>
    <w:tmpl w:val="06D21412"/>
    <w:lvl w:ilvl="0" w:tplc="45CAA98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7E2E7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FAF8E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F08DC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20C68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C0A26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8FE80A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A025C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489E4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EA4"/>
    <w:rsid w:val="005D3FA6"/>
    <w:rsid w:val="007202D9"/>
    <w:rsid w:val="007C3EA4"/>
    <w:rsid w:val="00BF0136"/>
    <w:rsid w:val="00E13686"/>
    <w:rsid w:val="00F47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02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7202D9"/>
  </w:style>
  <w:style w:type="paragraph" w:styleId="a4">
    <w:name w:val="footer"/>
    <w:basedOn w:val="a"/>
    <w:link w:val="Char0"/>
    <w:uiPriority w:val="99"/>
    <w:unhideWhenUsed/>
    <w:rsid w:val="007202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7202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02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7202D9"/>
  </w:style>
  <w:style w:type="paragraph" w:styleId="a4">
    <w:name w:val="footer"/>
    <w:basedOn w:val="a"/>
    <w:link w:val="Char0"/>
    <w:uiPriority w:val="99"/>
    <w:unhideWhenUsed/>
    <w:rsid w:val="007202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7202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960109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49872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6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346680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93280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1031</Words>
  <Characters>5880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Manal Mohammed Aldossary</dc:creator>
  <cp:keywords/>
  <dc:description/>
  <cp:lastModifiedBy>Manal Mohammed Aldossary</cp:lastModifiedBy>
  <cp:revision>3</cp:revision>
  <dcterms:created xsi:type="dcterms:W3CDTF">2014-03-20T09:55:00Z</dcterms:created>
  <dcterms:modified xsi:type="dcterms:W3CDTF">2014-03-20T10:08:00Z</dcterms:modified>
</cp:coreProperties>
</file>