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851" w:rsidRPr="00E5243F" w:rsidRDefault="00474851" w:rsidP="006A0E18">
      <w:pPr>
        <w:bidi w:val="0"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474851">
        <w:rPr>
          <w:rFonts w:ascii="Sakkal Majalla" w:eastAsia="Times New Roman" w:hAnsi="Sakkal Majalla" w:cs="Sakkal Majalla"/>
          <w:b/>
          <w:bCs/>
          <w:color w:val="00B0F0"/>
          <w:sz w:val="36"/>
          <w:szCs w:val="36"/>
        </w:rPr>
        <w:br/>
      </w:r>
      <w:r w:rsidRPr="00E5243F">
        <w:rPr>
          <w:rFonts w:ascii="Sakkal Majalla" w:eastAsia="Times New Roman" w:hAnsi="Sakkal Majalla" w:cs="Sakkal Majalla"/>
          <w:b/>
          <w:bCs/>
          <w:color w:val="00B0F0"/>
          <w:sz w:val="36"/>
          <w:szCs w:val="36"/>
        </w:rPr>
        <w:t xml:space="preserve">(( </w:t>
      </w:r>
      <w:r w:rsidRPr="00E5243F">
        <w:rPr>
          <w:rFonts w:ascii="Sakkal Majalla" w:eastAsia="Times New Roman" w:hAnsi="Sakkal Majalla" w:cs="Sakkal Majalla"/>
          <w:b/>
          <w:bCs/>
          <w:color w:val="00B0F0"/>
          <w:sz w:val="36"/>
          <w:szCs w:val="36"/>
          <w:rtl/>
        </w:rPr>
        <w:t xml:space="preserve">عقيده 2 في </w:t>
      </w:r>
      <w:r w:rsidRPr="00053A65">
        <w:rPr>
          <w:rFonts w:ascii="Sakkal Majalla" w:eastAsia="Times New Roman" w:hAnsi="Sakkal Majalla" w:cs="Sakkal Majalla"/>
          <w:b/>
          <w:bCs/>
          <w:color w:val="00B0F0"/>
          <w:sz w:val="36"/>
          <w:szCs w:val="36"/>
          <w:u w:val="single"/>
          <w:rtl/>
        </w:rPr>
        <w:t>بلاك بورد</w:t>
      </w:r>
      <w:r w:rsidRPr="00E5243F">
        <w:rPr>
          <w:rFonts w:ascii="Sakkal Majalla" w:eastAsia="Times New Roman" w:hAnsi="Sakkal Majalla" w:cs="Sakkal Majalla"/>
          <w:b/>
          <w:bCs/>
          <w:color w:val="00B0F0"/>
          <w:sz w:val="36"/>
          <w:szCs w:val="36"/>
        </w:rPr>
        <w:t xml:space="preserve"> ))</w:t>
      </w:r>
      <w:r w:rsidRPr="00474851">
        <w:rPr>
          <w:rFonts w:ascii="Sakkal Majalla" w:eastAsia="Times New Roman" w:hAnsi="Sakkal Majalla" w:cs="Sakkal Majalla"/>
          <w:b/>
          <w:bCs/>
          <w:color w:val="00B0F0"/>
          <w:sz w:val="36"/>
          <w:szCs w:val="36"/>
        </w:rPr>
        <w:br/>
      </w:r>
    </w:p>
    <w:p w:rsidR="00474851" w:rsidRPr="00E5243F" w:rsidRDefault="00053A65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</w:rPr>
      </w:pPr>
      <w:r w:rsidRPr="00053A65">
        <w:rPr>
          <w:rFonts w:ascii="Sakkal Majalla" w:eastAsia="Times New Roman" w:hAnsi="Sakkal Majalla" w:cs="Sakkal Majalla" w:hint="cs"/>
          <w:b/>
          <w:bCs/>
          <w:color w:val="FF0066"/>
          <w:sz w:val="36"/>
          <w:szCs w:val="36"/>
          <w:u w:val="single"/>
          <w:rtl/>
        </w:rPr>
        <w:t>تنبيه</w:t>
      </w:r>
      <w:r w:rsidRPr="00053A65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u w:val="single"/>
          <w:rtl/>
        </w:rPr>
        <w:t xml:space="preserve"> 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:-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مختلفة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عن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الافتراضي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الي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نزلها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الأخ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حازم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بارك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الله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في</w:t>
      </w:r>
      <w:r w:rsidRPr="00053A65">
        <w:rPr>
          <w:rFonts w:ascii="Sakkal Majalla" w:eastAsia="Times New Roman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053A65">
        <w:rPr>
          <w:rFonts w:ascii="Sakkal Majalla" w:eastAsia="Times New Roman" w:hAnsi="Sakkal Majalla" w:cs="Sakkal Majalla" w:hint="cs"/>
          <w:b/>
          <w:bCs/>
          <w:color w:val="7030A0"/>
          <w:sz w:val="36"/>
          <w:szCs w:val="36"/>
          <w:rtl/>
        </w:rPr>
        <w:t>جهوده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pStyle w:val="a4"/>
        <w:bidi w:val="0"/>
        <w:spacing w:after="0" w:line="240" w:lineRule="auto"/>
        <w:ind w:left="3240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1- عرف( ي ) العقيدة لغة واصطلاحا؟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العقيدة لغة : من عقد بمعنى الشد والوثوق والثبات والتأكيد والصلابة في الشيء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وفي اصطلاح الشرع : يرجع مفهوم العقيدة إلى الأمور التي يجب أن يصدقها قلبك وتطمئن إليها نفسك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، وتكون يقينا لا يمازجه ريب ولا يخالطه شك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 xml:space="preserve"> .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والعقيدة أيضا تعني : الإيمان الجازم بالله ، وملائكته وكتبه ورسله واليوم الآخر والقدر خيره وشره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، وبكل ما جاءت به النصوص الصحيحة من أصول الدين وأمور الغيب وأخباره ، وما 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اسنبطه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وأجمع عليه سلفنا الصالح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</w:rPr>
      </w:pP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2- ما هي أدلة الحنفية على أن العمل لا يدخل في مسمى الإيمان ؟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أن الإيمان في اللغة التصديق ، ومنه قوله في سورة يوسف ( وما أنت بمؤمن لنا ) أي : بمصدق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أن التصديق بالقلب هو الواجب على العبد حقا لله تعالى ، وهو تصديق رسول الله فيما جاء به من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عند الله ، فمن صدقه فهو مؤمن فيما بينه وبين الله تعالى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أن التصديق ضدُ الكفر ، والكفر تكذيب وجحود ، وهما يكونان بالقلب ، ويدل على أن موضع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الإيمان هو القلب لا اللسان ، قوله تعالى ( إلا من أكره وقلبه مطمئن بالإيمان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lastRenderedPageBreak/>
        <w:t>ـ لو كان الإيمان مركب من قول وعمل لزال كله بزوال جزئه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ـ أن العمل عطف على الإيمان في مواضع كثيرة في القرآن ، والعطف يقتضي المغايرة ، ومنه قوله تعالى : ( آمنوا وعملوا الصالحات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3- ما الفرق بين الولاء والمداهنة . ؟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الولاء هو : القرب من المسلمين بمودتهم ومناصرتهم على أعدائهم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المداهنة : المداهنة == هي ترك الأمر بالمعروف والنهي عن المنكر و مصانعة الكفار والعصاة من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أجل الدنيا والتنازل لذا يجب على المسلم من الغيرة على الدين.ومثاله : الاستئناس بأهل المعاصي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والكفار ومعاشرتهم وهم على معاصيهم أو كفرهم ، وترك الإنكار عليهم مع القدرة عليه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4- أذكر ( ي ) أقوال الناس في حكم مرتكب الكبيرة بالتفصيل .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اختلفت الناس في مرتكب الكبيرة ( الخوارج والمعتزلة ) جعلوا مرتكب الكبيرة كمن ترك شهادة ان لا</w:t>
      </w:r>
      <w:r w:rsidR="00E5243F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إله الا الله كافراً خارجا عن المله في الدنيا 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والاخره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خالداً مخلدا وقالو الخوارج بانه كافر في الدنيا</w:t>
      </w:r>
      <w:r w:rsidR="00E5243F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والأخرة خالد مخلد فيها اما المعتز له لا تسميه كافراً ولا مؤمنا بل هو في منزلة المنزلتين وفي</w:t>
      </w:r>
      <w:r w:rsidR="00E5243F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الأخرة مخلد في النار اما أهل ( السنه والجماعة) فقالوا هذا فعل محرماً او ترك واجباً وهو مؤمن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ناقص الإيمان ينقص إيمانه بقدر نقص شعب الإيمان وتركه لهما ( اما المرجئة) الإيمان كامل في</w:t>
      </w:r>
      <w:r w:rsidR="00E5243F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القلب اما الاعمال فسواء زادت او نقصت فلا تأثير لها على 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مافي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القلب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053A65" w:rsidRDefault="00053A65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</w:pPr>
      <w:r w:rsidRPr="00053A65">
        <w:rPr>
          <w:rFonts w:ascii="Sakkal Majalla" w:eastAsia="Times New Roman" w:hAnsi="Sakkal Majalla" w:cs="Sakkal Majalla" w:hint="cs"/>
          <w:b/>
          <w:bCs/>
          <w:color w:val="FF0066"/>
          <w:sz w:val="36"/>
          <w:szCs w:val="36"/>
          <w:rtl/>
        </w:rPr>
        <w:t>5</w:t>
      </w:r>
      <w:r w:rsidR="00474851" w:rsidRPr="00053A65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- ما هي نواقض الإيمان القولية ؟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١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 xml:space="preserve">-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سب الله تعالى او رسوله او ملائكته او كتبه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٢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 xml:space="preserve">-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الاستهزاء بالله او رسوله او كتبه او دينه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lastRenderedPageBreak/>
        <w:t>٣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 xml:space="preserve">-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إنكار معلوم من الدين بالضروري</w:t>
      </w:r>
    </w:p>
    <w:p w:rsidR="00053A65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٤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 xml:space="preserve">-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ادعاء النبوة</w:t>
      </w:r>
    </w:p>
    <w:p w:rsidR="00474851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ادعاء علم الغيب كالتنجيم والكهانة 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والعرافه</w:t>
      </w:r>
      <w:proofErr w:type="spellEnd"/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6- ما هي عوارض التكفير ؟</w:t>
      </w: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</w:rPr>
        <w:t xml:space="preserve"> .</w:t>
      </w:r>
    </w:p>
    <w:p w:rsidR="00F86A9E" w:rsidRPr="00E5243F" w:rsidRDefault="00F86A9E" w:rsidP="006A0E18">
      <w:pPr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العلم هو اهم عوارض  التكفير حيث ﻻ يجوز لنا ان نحكم على شخص قام بعمل كافر مالم يعرف ان العمل</w:t>
      </w: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الذي قام به عمل كف ي فهو معذور ﻻنه جاهل بماقام به</w:t>
      </w: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</w:rPr>
      </w:pPr>
    </w:p>
    <w:p w:rsidR="00474851" w:rsidRPr="00E5243F" w:rsidRDefault="00053A65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FF0066"/>
          <w:sz w:val="36"/>
          <w:szCs w:val="36"/>
          <w:rtl/>
        </w:rPr>
        <w:t xml:space="preserve">7- </w:t>
      </w:r>
      <w:r w:rsidR="00474851"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ما هي مجالات زيادة الإيمان ونقصانه ، مع بيان الأدلة من القرآن والسنة على أن الإيمان يزيد</w:t>
      </w:r>
      <w:r w:rsidR="00F86A9E"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 xml:space="preserve"> وينقص؟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F86A9E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من مجاﻻت زيادة اﻻيمان ونقصانه ،،،،</w:t>
      </w:r>
      <w:r w:rsidR="00F86A9E"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يزيد بالطاعة وينقص بالمعصية ويزيد بذكر الله وينقص بالغفلة ونسيان ذكر الله وكذلك اﻻيمان ينقص بالحسد والكبر والعجب</w:t>
      </w: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ومن اﻻدله القرآنية على ذلك يزيد اﻻيمان بالطاعة وينقص بالمعصية قوله تعالى (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هوالذي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انزل السكينة في قلوب المؤمنين 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ليزدادوايمانا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مع ايمانهم ) وقوله تعالى ( واذا تليت عليهم ايته زادتهم ايمان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ومن السنه حديث (يخرج 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منىالنار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من كان في قلبه اجنى ادنى مثقال ذرة من ايمان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F86A9E" w:rsidRPr="00E5243F" w:rsidRDefault="00F86A9E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</w:rPr>
        <w:t>?</w:t>
      </w: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8- هل يعذر الجاهل أم يكفر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الحق الذي دلت عليه نصوص الكتاب والسنه انه يعذر بجهله حتى تبلغه الحجه 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الرساليه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فإن الله تعالى</w:t>
      </w:r>
      <w:r w:rsidR="00F86A9E"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يقول [</w:t>
      </w:r>
      <w:proofErr w:type="spellStart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لانذركم</w:t>
      </w:r>
      <w:proofErr w:type="spellEnd"/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به ومن بلغ ] فبين تعالى ان </w:t>
      </w:r>
      <w:r w:rsidR="00E5243F"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النذارة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 xml:space="preserve"> لا تتم الا بالبلاغ</w:t>
      </w: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</w:rPr>
      </w:pPr>
    </w:p>
    <w:p w:rsidR="00F86A9E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lastRenderedPageBreak/>
        <w:t>؟</w:t>
      </w:r>
      <w:r w:rsidR="00F86A9E"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 xml:space="preserve">9- </w:t>
      </w:r>
      <w:r w:rsidR="00F86A9E"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هل هناك فرق بين المداهنة والمداراة ، وبأي منهما تعامل رسول الله صلى الله عليه وسلم</w:t>
      </w: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في الصحيحين عن عائشة رضي الله عنها: أن رجلاً استأذن على النبي صلى الله عليه و سلم فلما رآه</w:t>
      </w: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</w:rPr>
      </w:pP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قال: بئس أخو العشيرة وبئس ابن العشيرة، فلما جلس تطلق النبي صلى الله عليه وسلم في وجهه</w:t>
      </w: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وانبسط إليه!! فلما انطلق الرجل قالت له عائشة: يا رسول الله حين رأيت الرجل قلت له كذا وكذا ثم</w:t>
      </w: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E5243F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تطلقت في وجهه وانبسطت إليه، فقال رسول الله صلى الله عليه وسلم: يا عائشة متى عهدتني فحاشاً؟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!</w:t>
      </w:r>
    </w:p>
    <w:p w:rsidR="00474851" w:rsidRPr="00E5243F" w:rsidRDefault="00E5243F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إن شر الناس عند الله منزلة يوم القيامة من تركه الناس اتقاء شره</w:t>
      </w:r>
      <w:r w:rsidR="00053A65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="00474851"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فالنبي صلى الله عليه وسلم دارى الرجل رغم تضجره منه حين استأذن عليه لكنه لم يداهنه، قال ابن</w:t>
      </w:r>
      <w:r w:rsidR="00053A65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="00474851"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حجر في الفتح نقلاً عن القرطبي: والفرق بين المداراة والمداهنة أن المداراة بذل الدنيا لصلاح الدنيا أو</w:t>
      </w:r>
      <w:r w:rsidR="00053A65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="00474851"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الدين أو هما معاً وهي مباحة وربما استحبت. والمداهنة ترك الدين لصلاح الدنيا</w:t>
      </w:r>
      <w:r w:rsidR="00474851"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والنبي صلى الله عليه وسلم إنما بذل له من دنياه حسن عشرته والرفق في مكالمته ومع ذلك فلم يمدحه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بقول، فلم يناقض قوله فيه فعله، فإن قوله فيه قول حق وفعله معه حسن عشرة.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053A65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053A65">
        <w:rPr>
          <w:rFonts w:ascii="Sakkal Majalla" w:eastAsia="Times New Roman" w:hAnsi="Sakkal Majalla" w:cs="Sakkal Majalla" w:hint="cs"/>
          <w:b/>
          <w:bCs/>
          <w:color w:val="FF0066"/>
          <w:sz w:val="36"/>
          <w:szCs w:val="36"/>
          <w:rtl/>
        </w:rPr>
        <w:lastRenderedPageBreak/>
        <w:t>10</w:t>
      </w:r>
      <w:r w:rsidR="00E5243F"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 xml:space="preserve">- </w:t>
      </w:r>
      <w:r w:rsidR="00474851" w:rsidRPr="00E5243F">
        <w:rPr>
          <w:rFonts w:ascii="Sakkal Majalla" w:eastAsia="Times New Roman" w:hAnsi="Sakkal Majalla" w:cs="Sakkal Majalla"/>
          <w:b/>
          <w:bCs/>
          <w:color w:val="FF0066"/>
          <w:sz w:val="36"/>
          <w:szCs w:val="36"/>
          <w:rtl/>
        </w:rPr>
        <w:t>رأيكم في مؤتمرات تقرير وحدة الأديان، وإزالة الخلاف العقدي وإسقاط الفوارق بين الديانات</w:t>
      </w:r>
      <w:r>
        <w:rPr>
          <w:rFonts w:ascii="Sakkal Majalla" w:eastAsia="Times New Roman" w:hAnsi="Sakkal Majalla" w:cs="Sakkal Majalla" w:hint="cs"/>
          <w:b/>
          <w:bCs/>
          <w:color w:val="FF0066"/>
          <w:sz w:val="36"/>
          <w:szCs w:val="36"/>
          <w:rtl/>
        </w:rPr>
        <w:t>؟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إن من الموالاة العملية التي تناقض الإيمان: - إقامة مؤتمرات وتنظيم ملتقيات من أجل تقرير وحدة</w:t>
      </w:r>
      <w:r w:rsidR="00053A65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الأديان، وإزالة الخلاف العقدي، وإسقاط الفوارق الأساسية فيما بين تلك الديانات، وذلك من أجل توحيد</w:t>
      </w:r>
      <w:r w:rsidR="00053A65">
        <w:rPr>
          <w:rFonts w:ascii="Sakkal Majalla" w:eastAsia="Times New Roman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هذه الملل المختلفة على أساس الاعتراف بعقائدهم وصحتها، وقد يطلقون على هذه الوحدة المزعومة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eastAsia="Times New Roman" w:hAnsi="Sakkal Majalla" w:cs="Sakkal Majalla"/>
          <w:b/>
          <w:bCs/>
          <w:sz w:val="36"/>
          <w:szCs w:val="36"/>
          <w:rtl/>
        </w:rPr>
        <w:t>بين الديانات الثلاث (الإسلام والنصرانية واليهودية) ما يسمى بالديانة الإبراهيمية، أو الديانة العالمية</w:t>
      </w:r>
      <w:r w:rsidRPr="00E5243F">
        <w:rPr>
          <w:rFonts w:ascii="Sakkal Majalla" w:eastAsia="Times New Roman" w:hAnsi="Sakkal Majalla" w:cs="Sakkal Majalla"/>
          <w:b/>
          <w:bCs/>
          <w:sz w:val="36"/>
          <w:szCs w:val="36"/>
        </w:rPr>
        <w:t>.</w:t>
      </w:r>
    </w:p>
    <w:p w:rsidR="00474851" w:rsidRPr="00E5243F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053A65" w:rsidRPr="00053A65" w:rsidRDefault="00053A65" w:rsidP="006A0E18">
      <w:pPr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</w:pPr>
      <w:r w:rsidRPr="00053A65"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  <w:t>11متى يكون الحكم بغير ما أنزل الله كفرا أصغرا أو ذنبا من الذنوب</w:t>
      </w:r>
      <w:r>
        <w:rPr>
          <w:rFonts w:ascii="Sakkal Majalla" w:hAnsi="Sakkal Majalla" w:cs="Sakkal Majalla" w:hint="cs"/>
          <w:b/>
          <w:bCs/>
          <w:color w:val="FF0066"/>
          <w:sz w:val="36"/>
          <w:szCs w:val="36"/>
          <w:rtl/>
        </w:rPr>
        <w:t>؟</w:t>
      </w:r>
    </w:p>
    <w:p w:rsidR="00053A65" w:rsidRPr="00E5243F" w:rsidRDefault="00053A65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يكون الحكم بغير ما انزل الله كفر اصغر اذا حكم الحاكم او القاضي بغير ما انزل الله تعالى في واقعة ما مع اعتقاده وجوب</w:t>
      </w:r>
    </w:p>
    <w:p w:rsidR="00053A65" w:rsidRPr="00E5243F" w:rsidRDefault="00053A65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الحكم بما انزل الله تعالى في هذه القضية المعينة فعدل عنه عصيانا وهوى وشهوة مع اعترافه بانه اثم في ذلك مستحق للعقوبة</w:t>
      </w:r>
    </w:p>
    <w:p w:rsidR="00053A65" w:rsidRPr="00053A65" w:rsidRDefault="00053A65" w:rsidP="006A0E18">
      <w:pPr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</w:pPr>
      <w:r w:rsidRPr="00053A65"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  <w:t>12- من موانع التكفير ( الجهل ) ناقش ذلك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- إن المتتبع لمنهج الإمام محمد بن عبد الوهاب – رحمه الله – في مسألة التكفير يجده متطابقًا مع منهج السلف، وأنه ينبني على أمور منها: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أولا: إن التكفير من الأحكام الشرعية، فلا يحل لأحد أن يطلقه على أحد لمجرد الظن والهوى. قال الإمام محمد بن عبد الوهاب رحمه الله: “لا نكفر مَن لا نعرف منه الكفر بسبب ناقض ذُكِر عنه ونحن لم نتحقق”.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 xml:space="preserve">فالكافر مَن جعله اللهُ ورسولُه كافرًا، والفاسق مَن جعله اللهُ ورسولُه فاسقًا، والمعصوم الدم جَعَله اللهُ ورسولُه معصومَ الدم، كما أن العدل مَن جعله اللهُ </w:t>
      </w: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lastRenderedPageBreak/>
        <w:t>ورسولُه عَدْلاً، والمسلم مَن جعله اللهُ ورسولُه مسلمًا، هذه المسائل كلها ثابتة في الشرع.</w:t>
      </w:r>
    </w:p>
    <w:p w:rsidR="00053A65" w:rsidRPr="00053A65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ثانيا: يقرر الإمام محمد بن عبد الوهاب – رحمه الله – أن تكفير المُعَيَّن لا يَحِلُّ إلا بانطباق الشروط، وانتفاء الموانع، ولهذا يقول الإمام محمد بن عبد الوهاب رحمه الله ما نصه: “إذا قال قولاً يكون القول به كُفْرًا فليقال: مَن قال بهذا القول فهو كافر. ولكن الشخص المعين إذا قال ذلك لا يُحْكَم بكفره، حتى تقوم عليه الحجة التي يكفر تاركها</w:t>
      </w:r>
    </w:p>
    <w:p w:rsidR="00053A65" w:rsidRDefault="00053A65" w:rsidP="006A0E18">
      <w:pPr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</w:pPr>
      <w:r w:rsidRPr="00053A65"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  <w:t>13 تناول أقسام الذنوب والمعاصي بالبيان مع الدليل</w:t>
      </w:r>
    </w:p>
    <w:p w:rsidR="00E5243F" w:rsidRPr="00053A65" w:rsidRDefault="00E5243F" w:rsidP="006A0E18">
      <w:pPr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وتنقسم الذنوب إلى قسمين : كبائر وصغائر ، والأدلة على هذا التقسيم كثيرة فمن ذلك قول الله تعالى (إِنْ تَجْتَنِبُوا كَبَائِرَ مَا تُنْهَوْنَ عَنْهُ نُكَفِّرْ عَنْكُمْ سَيِّئَاتِكُمْ )</w:t>
      </w:r>
      <w:r w:rsidR="006A0E18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 xml:space="preserve">وقال تعالى : ( الَّذِينَ يَجْتَنِبُونَ كَبَائِرَ </w:t>
      </w:r>
      <w:proofErr w:type="spellStart"/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الْأِثْمِ</w:t>
      </w:r>
      <w:proofErr w:type="spellEnd"/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وَالْفَوَاحِشَ إِلَّا اللَّمَمَ إِنَّ رَبَّكَ وَاسِعُ الْمَغْفِرَةِ هُوَ أَعْلَمُ بِكُمْ إِذْ أَنْشَأَكُمْ مِنَ الْأَرْضِ وَإِذْ أَنْتُمْ أَجِنَّةٌ فِي بُطُونِ أُمَّهَاتِكُمْ فَلا تُزَكُّوا أَنْفُسَكُمْ هُوَ أَعْلَمُ بِمَنِ اتَّقَى) </w:t>
      </w:r>
      <w:r w:rsidR="006A0E18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وقول الرسول صلى الله عليه وسلم (الصلوات الخمس ، والجمعة إلى الجمعة ، كفارة لما بينهن ما لم تغش الكبائر ) </w:t>
      </w:r>
      <w:r w:rsidR="006A0E18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والقسم الأول : الكبائر : جاء في الأدلة اعتبار عدد من الذنوب من الكبائر صراحة ، مثل الشرك بالله ، وعقوق الوالدين ، وقتل النفس التي حرم الله ، والسحر ، وشهادة الزور ، وغير ذلك . وأما ما لم يرد دليل خاص بتسميته كبيرة ، فقد اجتهد العلماء في وضع ضابط تعرف به الكبيرة من غيرها ، فقالوا في تعريف الكبيرة ، كل معصية دل الدليل على تغليظ تحريمها ، أما بلعن أو غضب ، أو عذاب ، أو نار ، أو حد في الدنيا ، ونحو ذلك . القسم الثاني : الصغائر :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lastRenderedPageBreak/>
        <w:t>والصغيرة هي : ما لم ينطبق عليها حد الكبيرة ، ومن أمثلتها ، الخروج من المسجد بعد الأذان لغير حاجة ، وترك إجابة دعوة العرس بدون عذر ، وترك رد السلام ، وعدم تشميت العاطس الذي حمد الله ، وغير ذلك .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 xml:space="preserve">والواجب على المسلم ترك جميع ما نهى الله عنه ورسوله ، لا فرق في ذلك بين الصغائر والكبائر ، قال الرسول صلى الله عليه وسلم (ما نهيتكم عنه فاجتنبوه) </w:t>
      </w:r>
      <w:r w:rsidR="006A0E18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وترك الذنب تعظيم لحق الله تعالى على العبد ، وتعظيم لما نهى الله عنه ورسوله صلى الله عليه وسلم ولذلك قال بلال بن سعد التابعي رحمه الله تعالى :(لا تنظر إلى صغر الخطيئة ولكن أنظر إلى من عصيت) </w:t>
      </w:r>
      <w:r w:rsidR="006A0E18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، وسير أعلام النبلاء 5/91 في ترجمة بلال بن سعد) وجاء من التحذير من التهاون بالصغائر بنص خاص وذلك في قوله صلى الله عليه وسلم ( إياكم ومحقرات الذنوب ، إنما مثل محقرات الذنوب كمثل قوم نزلوا بطن واد فجاء ذا بعود وجاء ذا بعود ، حتى حملوا ما انضجوا به خبزهم ، وإن محقرات الذنوب متى يؤخذ بها صاحبها تهلكه )</w:t>
      </w:r>
      <w:r w:rsidR="006A0E18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</w:p>
    <w:p w:rsidR="00E5243F" w:rsidRPr="00053A65" w:rsidRDefault="00053A65" w:rsidP="006A0E18">
      <w:pPr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</w:pPr>
      <w:r w:rsidRPr="00053A65"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  <w:t>14 ما هي أهم النواقض القولية للإيمان</w:t>
      </w:r>
      <w:r w:rsidRPr="00053A65">
        <w:rPr>
          <w:rFonts w:ascii="Sakkal Majalla" w:hAnsi="Sakkal Majalla" w:cs="Sakkal Majalla" w:hint="cs"/>
          <w:b/>
          <w:bCs/>
          <w:color w:val="FF0066"/>
          <w:sz w:val="36"/>
          <w:szCs w:val="36"/>
          <w:rtl/>
        </w:rPr>
        <w:t xml:space="preserve"> </w:t>
      </w:r>
      <w:r w:rsidR="00E5243F" w:rsidRPr="00053A65">
        <w:rPr>
          <w:rFonts w:ascii="Sakkal Majalla" w:hAnsi="Sakkal Majalla" w:cs="Sakkal Majalla"/>
          <w:b/>
          <w:bCs/>
          <w:color w:val="FF0066"/>
          <w:sz w:val="36"/>
          <w:szCs w:val="36"/>
          <w:rtl/>
        </w:rPr>
        <w:t>فالناقض القولي: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فالناقض القولي: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هو كل  قول فيه اعتراف بعقيدة مكفرة أو فيه جحود لعقيدة من عقائد الإسلام المعلومة من الدين بالضرورة، أو فيه استهزاء بالدين في عقائده أو أحكامه كالسب لله تعالى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ومن سب الله تعالى كفر سواء كان مازحا أو جاداً و كذلك من استهزأ بالله تعالى أو بآياته أو برسله أو كتبه</w:t>
      </w:r>
    </w:p>
    <w:p w:rsidR="00E5243F" w:rsidRPr="00E5243F" w:rsidRDefault="00E5243F" w:rsidP="006A0E18">
      <w:pPr>
        <w:rPr>
          <w:rFonts w:ascii="Sakkal Majalla" w:hAnsi="Sakkal Majalla" w:cs="Sakkal Majalla" w:hint="cs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قال الله تعالى: ﴿وَلَئِن سَأَلْتَهُمْ لَيَقُولُنَّ إِنَّمَا كُنَّا نخوض وَنَلْعَبُ قُلْ أَبِاللّهِ وَآيَاتِهِ وَرَسُولِهِ كُنتُمْ تَسْتَهْزِؤُونَ * لاَ تَعْتَذِرُواْ قَدْ كَفَرْتُم بَعْدَ إِيمَانِكُمْ﴾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lastRenderedPageBreak/>
        <w:t>هو كل  قول فيه اعتراف بعقيدة مكفرة أو فيه جحود لعقيدة من عقائد الإسلام المعلومة من الدين بالضرورة، أو فيه استهزاء بالدين في عقائده أو أحكامه كالسب لله تعالى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ومن سب الله تعالى كفر سواء كان مازحا أو جاداً و كذلك من استهزأ بالله تعالى أو بآياته أو برسله أو كتبه</w:t>
      </w:r>
    </w:p>
    <w:p w:rsidR="00E5243F" w:rsidRPr="00E5243F" w:rsidRDefault="00E5243F" w:rsidP="006A0E18">
      <w:pPr>
        <w:rPr>
          <w:rFonts w:ascii="Sakkal Majalla" w:hAnsi="Sakkal Majalla" w:cs="Sakkal Majalla"/>
          <w:b/>
          <w:bCs/>
          <w:sz w:val="36"/>
          <w:szCs w:val="36"/>
        </w:rPr>
      </w:pPr>
      <w:r w:rsidRPr="00E5243F">
        <w:rPr>
          <w:rFonts w:ascii="Sakkal Majalla" w:hAnsi="Sakkal Majalla" w:cs="Sakkal Majalla"/>
          <w:b/>
          <w:bCs/>
          <w:sz w:val="36"/>
          <w:szCs w:val="36"/>
          <w:rtl/>
        </w:rPr>
        <w:t>قال الله تعالى: ﴿وَلَئِن سَأَلْتَهُمْ لَيَقُولُنَّ إِنَّمَا كُنَّا نخوض وَنَلْعَبُ قُلْ أَبِاللّهِ وَآيَاتِهِ وَرَسُولِهِ كُنتُمْ تَسْتَهْزِؤُونَ * لاَ تَعْتَذِرُواْ قَدْ كَفَرْتُم بَعْدَ إِيمَانِكُمْ﴾</w:t>
      </w:r>
    </w:p>
    <w:p w:rsidR="00474851" w:rsidRPr="00E5243F" w:rsidRDefault="00474851" w:rsidP="006A0E18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6"/>
          <w:szCs w:val="36"/>
          <w:rtl/>
        </w:rPr>
      </w:pPr>
    </w:p>
    <w:p w:rsidR="00474851" w:rsidRPr="00E5243F" w:rsidRDefault="00474851" w:rsidP="006A0E18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color w:val="800080"/>
          <w:sz w:val="36"/>
          <w:szCs w:val="36"/>
        </w:rPr>
      </w:pPr>
    </w:p>
    <w:p w:rsidR="00474851" w:rsidRPr="00E5243F" w:rsidRDefault="00474851" w:rsidP="006A0E18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800080"/>
          <w:sz w:val="36"/>
          <w:szCs w:val="36"/>
        </w:rPr>
      </w:pPr>
    </w:p>
    <w:p w:rsidR="00474851" w:rsidRPr="00E5243F" w:rsidRDefault="00474851" w:rsidP="006A0E18">
      <w:pPr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800080"/>
          <w:sz w:val="36"/>
          <w:szCs w:val="36"/>
        </w:rPr>
      </w:pPr>
    </w:p>
    <w:p w:rsidR="00474851" w:rsidRPr="00E5243F" w:rsidRDefault="00474851" w:rsidP="006A0E18">
      <w:pPr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800080"/>
          <w:sz w:val="36"/>
          <w:szCs w:val="36"/>
        </w:rPr>
      </w:pPr>
    </w:p>
    <w:p w:rsidR="006A0E18" w:rsidRPr="006A0E18" w:rsidRDefault="006A0E18" w:rsidP="006A0E18">
      <w:pPr>
        <w:jc w:val="right"/>
        <w:rPr>
          <w:rFonts w:ascii="Sakkal Majalla" w:eastAsia="Calibri" w:hAnsi="Sakkal Majalla" w:cs="Sakkal Majalla"/>
          <w:b/>
          <w:bCs/>
          <w:noProof/>
          <w:color w:val="FF3399"/>
          <w:sz w:val="28"/>
          <w:szCs w:val="28"/>
        </w:rPr>
      </w:pPr>
      <w:r w:rsidRPr="006A0E18">
        <w:rPr>
          <w:rFonts w:ascii="Sakkal Majalla" w:eastAsia="Calibri" w:hAnsi="Sakkal Majalla" w:cs="Sakkal Majalla"/>
          <w:b/>
          <w:bCs/>
          <w:noProof/>
          <w:color w:val="FF3399"/>
          <w:sz w:val="28"/>
          <w:szCs w:val="28"/>
          <w:rtl/>
        </w:rPr>
        <w:t xml:space="preserve">نسأل الله التوفيق  </w:t>
      </w:r>
    </w:p>
    <w:p w:rsidR="00474851" w:rsidRPr="00E5243F" w:rsidRDefault="00474851" w:rsidP="006A0E18">
      <w:pPr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800080"/>
          <w:sz w:val="36"/>
          <w:szCs w:val="36"/>
        </w:rPr>
      </w:pPr>
      <w:bookmarkStart w:id="0" w:name="_GoBack"/>
      <w:bookmarkEnd w:id="0"/>
    </w:p>
    <w:p w:rsidR="00474851" w:rsidRPr="00474851" w:rsidRDefault="00474851" w:rsidP="006A0E18">
      <w:pPr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color w:val="800080"/>
          <w:sz w:val="36"/>
          <w:szCs w:val="36"/>
        </w:rPr>
      </w:pPr>
    </w:p>
    <w:p w:rsidR="00474851" w:rsidRPr="00474851" w:rsidRDefault="00474851" w:rsidP="006A0E18">
      <w:pPr>
        <w:bidi w:val="0"/>
        <w:spacing w:after="0" w:line="240" w:lineRule="auto"/>
        <w:jc w:val="right"/>
        <w:rPr>
          <w:rFonts w:ascii="Sakkal Majalla" w:eastAsia="Times New Roman" w:hAnsi="Sakkal Majalla" w:cs="Sakkal Majalla"/>
          <w:b/>
          <w:bCs/>
          <w:sz w:val="36"/>
          <w:szCs w:val="36"/>
        </w:rPr>
      </w:pPr>
      <w:r w:rsidRPr="00474851">
        <w:rPr>
          <w:rFonts w:ascii="Sakkal Majalla" w:eastAsia="Times New Roman" w:hAnsi="Sakkal Majalla" w:cs="Sakkal Majalla"/>
          <w:b/>
          <w:bCs/>
          <w:color w:val="800080"/>
          <w:sz w:val="36"/>
          <w:szCs w:val="36"/>
        </w:rPr>
        <w:br/>
      </w:r>
    </w:p>
    <w:p w:rsidR="00D051DC" w:rsidRPr="00E5243F" w:rsidRDefault="00D051DC" w:rsidP="006A0E18">
      <w:pPr>
        <w:shd w:val="clear" w:color="auto" w:fill="F6F6F6"/>
        <w:bidi w:val="0"/>
        <w:spacing w:after="0" w:line="240" w:lineRule="auto"/>
        <w:jc w:val="right"/>
        <w:rPr>
          <w:rFonts w:ascii="Sakkal Majalla" w:hAnsi="Sakkal Majalla" w:cs="Sakkal Majalla"/>
          <w:b/>
          <w:bCs/>
          <w:sz w:val="36"/>
          <w:szCs w:val="36"/>
        </w:rPr>
      </w:pPr>
    </w:p>
    <w:p w:rsidR="00474851" w:rsidRPr="00E5243F" w:rsidRDefault="00474851" w:rsidP="006A0E18">
      <w:pPr>
        <w:jc w:val="right"/>
        <w:rPr>
          <w:rFonts w:ascii="Sakkal Majalla" w:hAnsi="Sakkal Majalla" w:cs="Sakkal Majalla"/>
          <w:b/>
          <w:bCs/>
          <w:sz w:val="36"/>
          <w:szCs w:val="36"/>
        </w:rPr>
      </w:pPr>
    </w:p>
    <w:sectPr w:rsidR="00474851" w:rsidRPr="00E5243F" w:rsidSect="00053A65">
      <w:footerReference w:type="default" r:id="rId8"/>
      <w:pgSz w:w="11906" w:h="16838"/>
      <w:pgMar w:top="1440" w:right="1800" w:bottom="1440" w:left="1800" w:header="708" w:footer="964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132" w:rsidRDefault="000E6132" w:rsidP="00053A65">
      <w:pPr>
        <w:spacing w:after="0" w:line="240" w:lineRule="auto"/>
      </w:pPr>
      <w:r>
        <w:separator/>
      </w:r>
    </w:p>
  </w:endnote>
  <w:endnote w:type="continuationSeparator" w:id="0">
    <w:p w:rsidR="000E6132" w:rsidRDefault="000E6132" w:rsidP="00053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A65" w:rsidRDefault="00053A65" w:rsidP="00053A65">
    <w:pPr>
      <w:pStyle w:val="a6"/>
      <w:jc w:val="right"/>
    </w:pPr>
    <w:r w:rsidRPr="00A00C91">
      <w:rPr>
        <w:rFonts w:cs="Arial" w:hint="cs"/>
        <w:rtl/>
      </w:rPr>
      <w:t>تنسيق</w:t>
    </w:r>
    <w:r>
      <w:rPr>
        <w:rFonts w:cs="Arial" w:hint="cs"/>
        <w:rtl/>
      </w:rPr>
      <w:t xml:space="preserve"> ونقل</w:t>
    </w:r>
    <w:r w:rsidRPr="00A00C91">
      <w:rPr>
        <w:rFonts w:cs="Arial"/>
        <w:rtl/>
      </w:rPr>
      <w:t xml:space="preserve"> :- </w:t>
    </w:r>
    <w:r w:rsidRPr="00A00C91">
      <w:rPr>
        <w:rFonts w:cs="Arial" w:hint="cs"/>
        <w:rtl/>
      </w:rPr>
      <w:t>جوااانا</w:t>
    </w:r>
    <w:r w:rsidRPr="00A00C91">
      <w:rPr>
        <w:rFonts w:cs="Arial"/>
        <w:rtl/>
      </w:rPr>
      <w:t xml:space="preserve">                                             </w:t>
    </w:r>
    <w:r>
      <w:rPr>
        <w:rFonts w:cs="Arial" w:hint="cs"/>
        <w:rtl/>
      </w:rPr>
      <w:t xml:space="preserve">                          </w:t>
    </w:r>
    <w:r w:rsidRPr="00A00C91">
      <w:rPr>
        <w:rFonts w:cs="Arial"/>
        <w:rtl/>
      </w:rPr>
      <w:t xml:space="preserve"> </w:t>
    </w:r>
    <w:r>
      <w:rPr>
        <w:rFonts w:cs="Arial" w:hint="cs"/>
        <w:rtl/>
      </w:rPr>
      <w:t xml:space="preserve"> </w:t>
    </w:r>
  </w:p>
  <w:p w:rsidR="00053A65" w:rsidRPr="00053A65" w:rsidRDefault="00053A6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132" w:rsidRDefault="000E6132" w:rsidP="00053A65">
      <w:pPr>
        <w:spacing w:after="0" w:line="240" w:lineRule="auto"/>
      </w:pPr>
      <w:r>
        <w:separator/>
      </w:r>
    </w:p>
  </w:footnote>
  <w:footnote w:type="continuationSeparator" w:id="0">
    <w:p w:rsidR="000E6132" w:rsidRDefault="000E6132" w:rsidP="00053A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249C7"/>
    <w:multiLevelType w:val="hybridMultilevel"/>
    <w:tmpl w:val="F514A3E4"/>
    <w:lvl w:ilvl="0" w:tplc="10DC0BB8">
      <w:start w:val="1"/>
      <w:numFmt w:val="decimal"/>
      <w:lvlText w:val="%1-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851"/>
    <w:rsid w:val="00053A65"/>
    <w:rsid w:val="000E6132"/>
    <w:rsid w:val="00474851"/>
    <w:rsid w:val="006A0E18"/>
    <w:rsid w:val="006D74B9"/>
    <w:rsid w:val="009D411E"/>
    <w:rsid w:val="00D051DC"/>
    <w:rsid w:val="00E5243F"/>
    <w:rsid w:val="00F8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4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7485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474851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053A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53A65"/>
  </w:style>
  <w:style w:type="paragraph" w:styleId="a6">
    <w:name w:val="footer"/>
    <w:basedOn w:val="a"/>
    <w:link w:val="Char1"/>
    <w:uiPriority w:val="99"/>
    <w:unhideWhenUsed/>
    <w:rsid w:val="00053A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53A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4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7485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474851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053A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53A65"/>
  </w:style>
  <w:style w:type="paragraph" w:styleId="a6">
    <w:name w:val="footer"/>
    <w:basedOn w:val="a"/>
    <w:link w:val="Char1"/>
    <w:uiPriority w:val="99"/>
    <w:unhideWhenUsed/>
    <w:rsid w:val="00053A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53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13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1310</Words>
  <Characters>7471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2014-12-02T08:58:00Z</dcterms:created>
  <dcterms:modified xsi:type="dcterms:W3CDTF">2014-12-02T10:11:00Z</dcterms:modified>
</cp:coreProperties>
</file>