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831" w:rsidRPr="00D13ACB" w:rsidRDefault="006E0831" w:rsidP="006E083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الحديث (2)</w:t>
      </w:r>
    </w:p>
    <w:p w:rsidR="006E0831" w:rsidRPr="00D13ACB" w:rsidRDefault="006E0831" w:rsidP="006E0831">
      <w:pPr>
        <w:rPr>
          <w:rFonts w:hint="cs"/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المحاضرة ال</w:t>
      </w:r>
      <w:r w:rsidRPr="00D13ACB">
        <w:rPr>
          <w:rFonts w:hint="cs"/>
          <w:b/>
          <w:bCs/>
          <w:sz w:val="24"/>
          <w:szCs w:val="24"/>
          <w:rtl/>
        </w:rPr>
        <w:t xml:space="preserve">ــ 9 </w:t>
      </w:r>
    </w:p>
    <w:p w:rsidR="006E0831" w:rsidRPr="00D13ACB" w:rsidRDefault="006E0831" w:rsidP="006E083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عنوان هذه المحاضرة :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 أحاديث مختارة من  كتاب الطلاق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(تابع - الحديث الرابع)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باب اللعان</w:t>
      </w:r>
    </w:p>
    <w:p w:rsidR="006E0831" w:rsidRPr="00D13ACB" w:rsidRDefault="006E0831" w:rsidP="006E083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تكلمنا في المحاضرة السابقة عن: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اللعان في اللغة: 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اللعان في الاصطلاح: 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ثم أخذنا حديث الباب، وهو:</w:t>
      </w:r>
    </w:p>
    <w:p w:rsidR="006E0831" w:rsidRPr="00D13ACB" w:rsidRDefault="006E0831" w:rsidP="006E083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أحاديث مختارة من  كتاب الطلاق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الحديث الرابع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باب اللعان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عن ابْن جُرَيْجٍ، قَالَ: أَخْبَرَنِي ابْنُ شِهَابٍ عَنِ الْمُلاَعَنَةِ، وَعَنِ السُّنَّةِ فِيهَا، عَنْ حَدِيثِ سَهْلِ بْنِ سَعْدٍ أَخِي بَنِي سَاعِدَةَ: 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أَنَّ رَجُلًا مِنَ الأَنْصَارِ جَاءَ إِلَى رَسُولِ الله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  <w:rtl/>
        </w:rPr>
        <w:t xml:space="preserve"> فَقَالَ: يَا رَسُولَ اللَّهِ، أَرَأَيْتَ رَجُلًا وَجَدَ مَعَ امْرَأَتِهِ رَجُلًا ؛ أَيَقْتُلُهُ، أَمْ كَيْفَ يَفْعَلُ؟ 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فَأَنْزَلَ الله فِي شَأْنِهِ مَا ذَكَرَ فِي الْقُرْآنِ مِنْ أَمْرِ الْمُتَلاَعِنَيْنِ، 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فَقَالَ النَّبِيُّ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  <w:rtl/>
        </w:rPr>
        <w:t xml:space="preserve"> : «قَدْ قَضَى اللَّهُ فِيكَ وَفِي امْرَأَتِكَ»، 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قَالَ: فَتَلاَعَنَا فِي الْمَسْجِدِ وَأَنَا شَاهِدٌ، 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فَلَمَّا فَرَغَا قَالَ: كَذَبْتُ عَلَيْهَا يَا رَسُولَ الله إِنْ أَمْسَكْتُهَا، </w:t>
      </w:r>
    </w:p>
    <w:p w:rsidR="006E0831" w:rsidRPr="00D13ACB" w:rsidRDefault="006E0831" w:rsidP="006E083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فَطَلَّقَهَا ثَلاَثًا قَبْلَ أَنْ يَأْمُرَهُ رَسُولُ الله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  <w:rtl/>
        </w:rPr>
        <w:t xml:space="preserve"> ، حِينَ فَرَغَا مِنَ </w:t>
      </w:r>
      <w:proofErr w:type="spellStart"/>
      <w:r w:rsidRPr="00D13ACB">
        <w:rPr>
          <w:b/>
          <w:bCs/>
          <w:sz w:val="24"/>
          <w:szCs w:val="24"/>
          <w:rtl/>
        </w:rPr>
        <w:t>التَّلاَعُنِ</w:t>
      </w:r>
      <w:proofErr w:type="spellEnd"/>
      <w:r w:rsidRPr="00D13ACB">
        <w:rPr>
          <w:b/>
          <w:bCs/>
          <w:sz w:val="24"/>
          <w:szCs w:val="24"/>
          <w:rtl/>
        </w:rPr>
        <w:t xml:space="preserve">، 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فَفَارَقَهَا عِنْدَ النَّبِيِّ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  <w:rtl/>
        </w:rPr>
        <w:t xml:space="preserve"> فَقَالَ: «ذَاكَ تَفْرِيقٌ بَيْنَ كُلِّ مُتَلاَعِنَيْنِ». 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قَالَ ابْنُ جُرَيْجٍ: قَالَ ابْنُ شِهَابٍ: فَكَانَتِ السُّنَّةُ بَعْدَهُمَا أَنْ يُفَرَّقَ بَيْنَ الْمُتَلاَعِنَيْنِ.</w:t>
      </w:r>
    </w:p>
    <w:p w:rsidR="006E0831" w:rsidRPr="00D13ACB" w:rsidRDefault="006E0831" w:rsidP="006E083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وانتهينا في المحاضرة السابقة من شرح النقاط التالية: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أولًا: تخريج الحديث ورواياته.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ثانيًا: التعريف بالصحابي الراوي.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ثالثًا: اللغة وشرح </w:t>
      </w:r>
      <w:proofErr w:type="spellStart"/>
      <w:r w:rsidRPr="00D13ACB">
        <w:rPr>
          <w:b/>
          <w:bCs/>
          <w:sz w:val="24"/>
          <w:szCs w:val="24"/>
          <w:rtl/>
        </w:rPr>
        <w:t>الألفاظز</w:t>
      </w:r>
      <w:proofErr w:type="spellEnd"/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lastRenderedPageBreak/>
        <w:t>رابعًا: الأحكام :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الحكم الأول: سبب نزول آيات اللعان: </w:t>
      </w:r>
    </w:p>
    <w:p w:rsidR="006E0831" w:rsidRPr="00D13ACB" w:rsidRDefault="006E0831" w:rsidP="006E083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ونستكمل الأحكام في هذه المحاضرة - إن شاء الله - 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الحكم الثاني: صفة الزوجين اللذين يصحّ منهما اللعان: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اختلف العلماء حول صفة الزوجين اللذين يصحّ منهما اللعان، وما يشترط فيهما، وذلك على قولين: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القول الأول: أن اللعان يصحّ من كلّ زوجين مكلّفين، ولا يشترط فيهما شيء آخر: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فسواء كانا: مسلمين أم كافرين،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             عدلين أم فاسقين،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             محدودين في قذف أم غير محدودين،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             أم كان أحدهما - فقط - محدودًا.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كل ذلك لا يشترط 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بل لا يشترط إلا أن يكونا زوجين مكلفين فحسب.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- أصحاب هذا القول: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بهذا قال سعيد بن المسيّب، والحسن، وربيعة،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وهو مذهب الشافعية والمالكية والحنابلة.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- أدلتهم: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1- عموم قوله تعالى: </w:t>
      </w:r>
      <w:r w:rsidRPr="00D13ACB">
        <w:rPr>
          <w:b/>
          <w:bCs/>
          <w:sz w:val="24"/>
          <w:szCs w:val="24"/>
        </w:rPr>
        <w:sym w:font="AGA Arabesque" w:char="F029"/>
      </w:r>
      <w:r w:rsidRPr="00D13ACB">
        <w:rPr>
          <w:b/>
          <w:bCs/>
          <w:sz w:val="24"/>
          <w:szCs w:val="24"/>
          <w:rtl/>
        </w:rPr>
        <w:t>وَالَّذِينَ يَرْمُونَ أَزْوَاجَهُمْ</w:t>
      </w:r>
      <w:r w:rsidRPr="00D13ACB">
        <w:rPr>
          <w:b/>
          <w:bCs/>
          <w:sz w:val="24"/>
          <w:szCs w:val="24"/>
        </w:rPr>
        <w:sym w:font="AGA Arabesque" w:char="F028"/>
      </w:r>
      <w:r w:rsidRPr="00D13ACB">
        <w:rPr>
          <w:b/>
          <w:bCs/>
          <w:sz w:val="24"/>
          <w:szCs w:val="24"/>
          <w:rtl/>
        </w:rPr>
        <w:t xml:space="preserve"> الآية.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2- ولأن اللعان يمين،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فلا يفتقر إلى سائر ما اشترطوه، كسائر الأيمان.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- ودليل أنه يمين قوله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  <w:rtl/>
        </w:rPr>
        <w:t xml:space="preserve"> : «لولا الأيمان، لكان لي ولها شأن».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- وأما تسميته شهادة؛ فلقول الملاعن في يمينه: أشهد بالله،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فسمي ذلك شهادة، وإن كان يمينًا،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كما قال تعالى: </w:t>
      </w:r>
      <w:r w:rsidRPr="00D13ACB">
        <w:rPr>
          <w:b/>
          <w:bCs/>
          <w:sz w:val="24"/>
          <w:szCs w:val="24"/>
        </w:rPr>
        <w:sym w:font="AGA Arabesque" w:char="F029"/>
      </w:r>
      <w:r w:rsidRPr="00D13ACB">
        <w:rPr>
          <w:b/>
          <w:bCs/>
          <w:sz w:val="24"/>
          <w:szCs w:val="24"/>
          <w:rtl/>
        </w:rPr>
        <w:t>إِذَا جَاءَكَ الْمُنَافِقُونَ قَالُوا نَشْهَدُ إِنَّكَ لَرَسُولُ اللهِ</w:t>
      </w:r>
      <w:r w:rsidRPr="00D13ACB">
        <w:rPr>
          <w:b/>
          <w:bCs/>
          <w:sz w:val="24"/>
          <w:szCs w:val="24"/>
        </w:rPr>
        <w:sym w:font="AGA Arabesque" w:char="F028"/>
      </w:r>
      <w:r w:rsidRPr="00D13ACB">
        <w:rPr>
          <w:b/>
          <w:bCs/>
          <w:sz w:val="24"/>
          <w:szCs w:val="24"/>
          <w:rtl/>
        </w:rPr>
        <w:t xml:space="preserve"> 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والدليل على كونه يمينًا ههنا قوله بعدها: </w:t>
      </w:r>
      <w:r w:rsidRPr="00D13ACB">
        <w:rPr>
          <w:b/>
          <w:bCs/>
          <w:sz w:val="24"/>
          <w:szCs w:val="24"/>
        </w:rPr>
        <w:sym w:font="AGA Arabesque" w:char="F029"/>
      </w:r>
      <w:r w:rsidRPr="00D13ACB">
        <w:rPr>
          <w:b/>
          <w:bCs/>
          <w:sz w:val="24"/>
          <w:szCs w:val="24"/>
          <w:rtl/>
        </w:rPr>
        <w:t xml:space="preserve"> اتَّخَذُوا أَيْمَانَهُمْ جُنَّةً</w:t>
      </w:r>
      <w:r w:rsidRPr="00D13ACB">
        <w:rPr>
          <w:b/>
          <w:bCs/>
          <w:sz w:val="24"/>
          <w:szCs w:val="24"/>
        </w:rPr>
        <w:sym w:font="AGA Arabesque" w:char="F028"/>
      </w:r>
      <w:r w:rsidRPr="00D13ACB">
        <w:rPr>
          <w:b/>
          <w:bCs/>
          <w:sz w:val="24"/>
          <w:szCs w:val="24"/>
          <w:rtl/>
        </w:rPr>
        <w:t>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القول الثاني: أن اللعان لا يصحّ إلا من زوجين مسلمين، عدلين، حرّين، غير محدودين في قذف.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فلا يكفي أن يكونا زوجين مكلفين فحسب،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بل يشترط ما سبق.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lastRenderedPageBreak/>
        <w:t>- أصحاب هذا القول: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روي هذا عن الزهريّ، والثوريّ، والأوزاعيّ،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وهو مذهب أبي حنيفة وأصحابه.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وعن مكحول: «ليس بين المسلم </w:t>
      </w:r>
      <w:proofErr w:type="spellStart"/>
      <w:r w:rsidRPr="00D13ACB">
        <w:rPr>
          <w:b/>
          <w:bCs/>
          <w:sz w:val="24"/>
          <w:szCs w:val="24"/>
          <w:rtl/>
        </w:rPr>
        <w:t>والذّمّيّة</w:t>
      </w:r>
      <w:proofErr w:type="spellEnd"/>
      <w:r w:rsidRPr="00D13ACB">
        <w:rPr>
          <w:b/>
          <w:bCs/>
          <w:sz w:val="24"/>
          <w:szCs w:val="24"/>
          <w:rtl/>
        </w:rPr>
        <w:t xml:space="preserve"> لعان».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وعن عطاء، والنخعيّ - في المحدود في القذف - قالا: «يُضرب الحدّ، ولا يُلاعن». 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- أدلتهم: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1- أن اللعان شهادة، بدليل قوله -عَزَّ وَجَلَّ-: </w:t>
      </w:r>
      <w:r w:rsidRPr="00D13ACB">
        <w:rPr>
          <w:b/>
          <w:bCs/>
          <w:sz w:val="24"/>
          <w:szCs w:val="24"/>
        </w:rPr>
        <w:sym w:font="AGA Arabesque" w:char="F029"/>
      </w:r>
      <w:r w:rsidRPr="00D13ACB">
        <w:rPr>
          <w:b/>
          <w:bCs/>
          <w:sz w:val="24"/>
          <w:szCs w:val="24"/>
          <w:rtl/>
        </w:rPr>
        <w:t>وَلَمْ يَكُنْ لَهُمْ شُهَدَاءُ إِلَّا أَنْفُسُهُمْ</w:t>
      </w:r>
      <w:r w:rsidRPr="00D13ACB">
        <w:rPr>
          <w:b/>
          <w:bCs/>
          <w:sz w:val="24"/>
          <w:szCs w:val="24"/>
        </w:rPr>
        <w:sym w:font="AGA Arabesque" w:char="F028"/>
      </w:r>
      <w:r w:rsidRPr="00D13ACB">
        <w:rPr>
          <w:b/>
          <w:bCs/>
          <w:sz w:val="24"/>
          <w:szCs w:val="24"/>
          <w:rtl/>
        </w:rPr>
        <w:t xml:space="preserve">، فاستثنى (أنفسهم) من الشهداء، وقال تعالى: </w:t>
      </w:r>
      <w:r w:rsidRPr="00D13ACB">
        <w:rPr>
          <w:b/>
          <w:bCs/>
          <w:sz w:val="24"/>
          <w:szCs w:val="24"/>
        </w:rPr>
        <w:sym w:font="AGA Arabesque" w:char="F029"/>
      </w:r>
      <w:r w:rsidRPr="00D13ACB">
        <w:rPr>
          <w:b/>
          <w:bCs/>
          <w:sz w:val="24"/>
          <w:szCs w:val="24"/>
          <w:rtl/>
        </w:rPr>
        <w:t>فَشَهَادَةُ أَحَدِهِمْ أَرْبَعُ شَهَادَاتٍ</w:t>
      </w:r>
      <w:r w:rsidRPr="00D13ACB">
        <w:rPr>
          <w:b/>
          <w:bCs/>
          <w:sz w:val="24"/>
          <w:szCs w:val="24"/>
        </w:rPr>
        <w:sym w:font="AGA Arabesque" w:char="F028"/>
      </w:r>
      <w:r w:rsidRPr="00D13ACB">
        <w:rPr>
          <w:b/>
          <w:bCs/>
          <w:sz w:val="24"/>
          <w:szCs w:val="24"/>
          <w:rtl/>
        </w:rPr>
        <w:t>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فلا يُقبل ممن ليس من أهل الشهادة؛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فلا يقبل من كافر 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ولا من غير عدل ،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ولا من عبد ،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ولا من محدود 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وقال ابن حجر في «الفتح» عند شرح حديث ابن عمر : «أن رجلاً من الأنصار قذف امرأته، فأحلفهما النبيّ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  <w:rtl/>
        </w:rPr>
        <w:t xml:space="preserve"> ، ثم فرّقهما» - عارضًا الاختلاف السابق - ما نصّه: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1- وقد تمسّك به من قال: إن اللعان يمين، وهو قول مالك، والشافعيّ، والجمهور.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2- وقال أبو حنيفة: اللعان شهادة، وهو وجه للشافعيّة.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3- وقيل: شهادة فيها شائبة اليمين.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4- وقيل: بالعكس.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5- ومن ثمّ قال بعض العلماء: ليس بيمين، ولا شهادة.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proofErr w:type="spellStart"/>
      <w:r w:rsidRPr="00D13ACB">
        <w:rPr>
          <w:b/>
          <w:bCs/>
          <w:sz w:val="24"/>
          <w:szCs w:val="24"/>
          <w:rtl/>
        </w:rPr>
        <w:t>وانبنى</w:t>
      </w:r>
      <w:proofErr w:type="spellEnd"/>
      <w:r w:rsidRPr="00D13ACB">
        <w:rPr>
          <w:b/>
          <w:bCs/>
          <w:sz w:val="24"/>
          <w:szCs w:val="24"/>
          <w:rtl/>
        </w:rPr>
        <w:t xml:space="preserve"> على الخلاف: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أ- أن اللعان يشرع بين كلّ زوجين مسلمين أو كافرين، حرّين أو عبدين، عدلين أو فاسقين؛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بناءً على أنه يمين، فمن صحّ يمينه صحّ لعانه. 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ب- وقيل: لا يصحّ اللعان إلا من زوجين حرّين مسلمين؛ لأن اللعان شهادة، ولا يصحّ من محدود في قذف.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وهذا الحديث حجة للأولين؛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لتسوية الراوي بين لاعَنَ، وحلف،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ويؤيّده أن اليمين ما دلّ على حثّ، أو منع، أو تحقيق خبر، وهو هنا كذلك،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lastRenderedPageBreak/>
        <w:t xml:space="preserve">ويدلّ عليه قوله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  <w:rtl/>
        </w:rPr>
        <w:t xml:space="preserve">  في بعض طرق حديث ابن عباس: («فقال له: احلف بالله الذي لا إله إلا هو إني لصادق» - يقول ذلك أربع مرّات -).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أخرجه الحاكم، والبيهقيّ، من رواية جرير بن حازم، عن أيوب، عن عكرمة، عنه.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وقوله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  <w:rtl/>
        </w:rPr>
        <w:t xml:space="preserve"> : «لولا الأيمان لكان لي ولها شأن».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واعتلّ بعض الحنفيّة بأنها لو كانت يمينًا لما تكرّرت.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وأجيب: 1- بأنها خرجت عن القياس؛ تغليظًا لحرمة الفرج ...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          2- وبأنها لو كانت شهادة لم تكرر أيضًا.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- ثم قال الحافظ ابن حجر - 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والذي تحرّر لي أنها: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من حيث الجزم بنفي الكذب، وإثبات الصدق: يمين،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لكن أطلق عليها شهادة: لاشتراط أن لا يكتفَى في ذلك بالظنّ،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بل لا بدّ من وجود علم كلّ منهما بالأمرين علمًا يصحّ معه أن يشهد به، 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ويؤيّد كونها يمينًا أن الشخص لو قال: (أشهد بالله لقد كان كذا) لعُدّ حالفًا.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وقد قال القفّال في «محاسن الشريعة»: (كررت أيمان اللعان؛ لأنها أقيمت مقام أربع شهود في غيره ليقام عليها الحدّ، ومن ثمّ سمّيت شهادات).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انتهى كلام الحافظ - رحمه الله تعالى - 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الحكم الثالث: كيفيّة اللعان وألفاظه: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قال ابن قُدامة - رحمه الله تعالى - في «المغني»: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أما ألفاظه: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فهي خمسة في حقّ كلّ واحد منهما.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وصفته: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أن الإمام يبدأ بالزوج، فيقيمه، ويقول له: قل أربع مرّات: أشهد بالله إني لمن الصادقين فيما رميت به زوجتي هذه من الزنا،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ويشير إليها إن كانت حاضرة،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ولا يحتاج مع الحضور والإشارة إلى نسبة وتسمية، كما لا يحتاج إلى ذلك في سائر العقود،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وإن كانت غائبةً أسماها، ونسبها، فقال: امرأتي فلانة بنت فلان، ويرفع في نسبها حتى تنتفي المشاركة بينها وبين غيرها،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فإذا شهد أربع مرّات، وقفه الحاكم وقال له: اتّق الله، فإنها الموجبة، وعذاب الدنيا أهون من عذاب الآخرة، وكلّ شيء من لعنة الله.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lastRenderedPageBreak/>
        <w:t xml:space="preserve">ويأمر رجلاً، فيضع يده على فيه، حتى لا يبادر بالخامسة قبل الموعظة، ثم يأمر الرجل، فيرسل يده عن فيه،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فإن رآه يمضي في ذلك، قال له: قل: وأن لعنة الله عليّ، إن كنت من الكاذبين فيما رميت به زوجتي هذه من الزنى.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ثم يأمر المرأة بالقيام، ويقول لها: قولي: أشهد بالله إن زوجي هذا لمن الكاذبين فيما رماني به من الزنى، وتشير إليه،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فإذا كرّرت ذلك أربع مرّات، وقفها، ووعظها كما ذكرنا في حقّ الزوج،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ويأمر امرأة، فتضع يدها على فيها، 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فإن رآها تمضي على ذلك، قال لها: قولي: وأن غضب الله عليّ، إن كان زوجي هذا من الصادقين فيما رماني به من الزنى.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قال: وعدد هذه الألفاظ الخمسة شرط في اللعان، فإن أخلّ بواحدة منها لم يصحّ.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انتهى كلام ابن قدامة باختصار.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وسئل الإمام أحمد: كيف يلاعن؟ فقال: على ما في كتاب الله تعالى، ثم ذكر نحو ما تقدّم.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وقال أبو العبّاس القرطبيّ: (واختلفوا في الألفاظ التي يقولها المتلاعنان، وأولى ذلك كلّه ما دلّ عليه كتاب الله تعالى، ثم ذكر نحو ما تقدّم).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الحكم الرابع: هل يشترط تفريق الحاكم بين المتلاعنين؟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القول الأول: لا تحصل الفرقة بين المتلاعنين إلا بتفريق الحاكم بينهما: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فلا تحصل بمجرد انتهاء اللعان بينهما.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- القائلون بذلك: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بذلك قال أبو حنيفة، والثوريّ. وهو رواية عن أحمد.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- أدلتهم: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1- قول ابن عبّاس - رضي الله عنهما - في حديثه: «ففرّق رسول الله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</w:rPr>
        <w:t xml:space="preserve"> </w:t>
      </w:r>
      <w:r w:rsidRPr="00D13ACB">
        <w:rPr>
          <w:b/>
          <w:bCs/>
          <w:sz w:val="24"/>
          <w:szCs w:val="24"/>
          <w:rtl/>
        </w:rPr>
        <w:t xml:space="preserve"> بينهما».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2- ما جاء في حديث </w:t>
      </w:r>
      <w:proofErr w:type="spellStart"/>
      <w:r w:rsidRPr="00D13ACB">
        <w:rPr>
          <w:b/>
          <w:bCs/>
          <w:sz w:val="24"/>
          <w:szCs w:val="24"/>
          <w:rtl/>
        </w:rPr>
        <w:t>عويمر</w:t>
      </w:r>
      <w:proofErr w:type="spellEnd"/>
      <w:r w:rsidRPr="00D13ACB">
        <w:rPr>
          <w:b/>
          <w:bCs/>
          <w:sz w:val="24"/>
          <w:szCs w:val="24"/>
          <w:rtl/>
        </w:rPr>
        <w:t xml:space="preserve"> - رضي الله عنه - قال: «كذبت عليها يا رسول الله إن أمسكتها، فطلّقها ثلاثًا قبل أن يأمره رسول الله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  <w:rtl/>
        </w:rPr>
        <w:t xml:space="preserve">» ، 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وهذا يقتضي: أ- إمكان إمساكها، ب- وأنه وقع طلاقه،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ولو كانت الفرقة وقعت قبل ذلك؛ أي: بمجرد انتهاء اللعان، لما وقع طلاقه، ولا أمكنه إمساكها.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3- ولأن سبب هذه الفرقة يَقِفُ على الحاكم،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فالفرقة المتعلّقة به لا تقع إلا بحكم الحاكم؛ كفرقة الْعُنّة.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القول الثاني: تحصل الفرقة بين المتلاعنين بمجرّد اللعان ، ولا تتوقف على تفريق الحاكم بينهما: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وانقسم القائلون بذلك إلى فريقين: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lastRenderedPageBreak/>
        <w:t>أ- الأول: قالوا: تحصل الفرقة بمجرد انتهاء اللعان بينهما: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- القائلون بذلك: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بذلك قال مالكٌ، وأبو ثور، وداود، وابن المنذر.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وهو رواية عن أحمد، وهو المذهب عند الحنابلة.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- أدلتهم: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1- ما روي عن عمر - رضي الله عنه - أنه قال: «المتلاعنان يُفرّق بينهما، ولا يجتمعان أبدًا» - رواه سعيد بن منصور.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2- ولأنه معنى يقتضي التحريم المؤبّد؛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فلم يقف على حكم الحاكم؛ كالرضاع. 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3- ولأن الفرقة لو لم تحصل إلا بتفريق الحاكم، لساغ ترك التفريق إذا كرهاه، كالتفريق للعيب، وللإعسار،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4- ولأن الفرقة لو لم تحصل إلا بتفريق الحاكم لوجب أن الحاكم إذا لم يُفرّق بينهما أن يبقى النكاح مستمرًّا.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وقول النبيّ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</w:rPr>
        <w:t xml:space="preserve"> </w:t>
      </w:r>
      <w:r w:rsidRPr="00D13ACB">
        <w:rPr>
          <w:b/>
          <w:bCs/>
          <w:sz w:val="24"/>
          <w:szCs w:val="24"/>
          <w:rtl/>
        </w:rPr>
        <w:t xml:space="preserve"> : «لا سبيل لك عليها» يدلّ على هذا.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أما تفريق النبيّ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  <w:rtl/>
        </w:rPr>
        <w:t xml:space="preserve"> بينهما فهو بمعنى إعلامه 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</w:rPr>
        <w:t xml:space="preserve"> </w:t>
      </w:r>
      <w:r w:rsidRPr="00D13ACB">
        <w:rPr>
          <w:b/>
          <w:bCs/>
          <w:sz w:val="24"/>
          <w:szCs w:val="24"/>
          <w:rtl/>
        </w:rPr>
        <w:t xml:space="preserve"> لهما بحصول الفرقة.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وعلى كلتا الروايتين لا تحصل الفرقة قبل تمام اللعان منهما.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ب- الثاني: قالوا: تحصل الفرقة بقول الزوج وحده: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فتحصل الفرقة بمجرد انتهاء الرجل من لعانه ، وإن لم تلتعن المرأة.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- القائلون بذلك: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ذهب إلى ذلك: الإمام الشافعيّ.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- أدلته: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1- أنها فرقة حاصلة بالقول، فتحصل بقول الزوج وحده، كالطلاق.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قال ابن قدامة: «ولا نعلم أحدًا وافق الشافعيّ على هذا القول». 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وقال ابن حجر في «الفتح» عارضًا هذا الاختلاف: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(1- ذهب مالكٌ والشافعيّ ومن تبعهما إلى أن: الفرقة تقع بنفس اللعان؛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أ- قال مالك وغالب أصحابه: بعد فراغ المرأة،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ب- وقال الشافعيّ وأتباعه، وسحنون من المالكية: بعد فراغ الزوج،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واعتلّ بأن التعان المرأة إنما شُرع لدفع الحدّ عنها، بخلاف الرجل، فإنه يزيد على ذلك في حقّه نفي النسب، ولحاق الولد، وزوال الفراش.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- وتظهر فائدة الخلاف في التوارث لو مات أحدهما عقب فراغ الرجل.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lastRenderedPageBreak/>
        <w:t xml:space="preserve">2- وقال الثوري، وأبو حنيفة، وأتباعهما: لا تقع الفرقة حتى يوقعها عليهما الحاكم.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واحتجّوا بظاهر ما وقع في أحاديث اللعان.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وعن أحمد روايتان.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3- وذهب عثمان البتّيّ إلى أنه لا تقع الفرقة حتى يوقعها الزوج.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واعتلّ: أ- بأن الفرقة لم تذكر في القرآن،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     ب- وبأن ظاهر الأحاديث أن الزوج هو الذي طلّق ابتداءً.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ويقال: إن عثمان تفرّد بذلك.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لكن نقل الطبريّ عن أبي الشعثاء جابر بن زيد البصريّ، أحد أصحاب ابن عبّاس - رضي الله عنهما -، من فقهاء التابعين نحوه. 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4- ومقابله قول أبي عبيد: إن الفرقة بين الزوجين تقع بنفس القذف، ولو لم يقع اللعان،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وكأنه مفرّعٌ على وجوب اللعان على من تحقّق ذلك من المرأة، فإذا أخلّ به عوقب بالفرقة، تغليظًا عليه). انتهى.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الحكم الخامس: هل فرقة اللعان : فسخٌ أو طلاق؟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وهل الحرمة المترتبة على فرقة اللعان: مؤبدة أو مؤقتة؟ 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القول الأول: أن الفرقة باللعان فسخ: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وهي توجب التحريم المؤبد كحرمة الرضاع 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فلا يمكن أن يعود المتلاعنان إلى الزواج بعد اللعان أبدا،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حتى لو أكذب الزوج نفسه، أو خرج عن أهلية الشهادة، أو صدقته المرأة في قذفه.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- القائلون بذلك: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المالكية والشافعية والحنابلة وأبو يوسف من الحنفية.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- أدلتهم: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1- قول النبي</w:t>
      </w:r>
      <w:r w:rsidRPr="00D13ACB">
        <w:rPr>
          <w:b/>
          <w:bCs/>
          <w:sz w:val="24"/>
          <w:szCs w:val="24"/>
        </w:rPr>
        <w:sym w:font="AGA Arabesque" w:char="F072"/>
      </w:r>
      <w:r w:rsidRPr="00D13ACB">
        <w:rPr>
          <w:b/>
          <w:bCs/>
          <w:sz w:val="24"/>
          <w:szCs w:val="24"/>
        </w:rPr>
        <w:t xml:space="preserve"> </w:t>
      </w:r>
      <w:r w:rsidRPr="00D13ACB">
        <w:rPr>
          <w:b/>
          <w:bCs/>
          <w:sz w:val="24"/>
          <w:szCs w:val="24"/>
          <w:rtl/>
        </w:rPr>
        <w:t xml:space="preserve"> في المتلاعنين: «لا يجتمعان أبدا».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2- ما رواه سهل بن سعد - رضي الله عنه - قال : «مضت السنة بعد في المتلاعنين أن يفرق بينهما ، ثم لا يجتمعان أبدا».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>3- أن اللعان قد وجد، وهو سبب التفريق، وتكذيب الزوج نفسه أو خروج أحد الزوجين عن أهلية الشهادة لا ينفي وجود السبب، بل هو باق فيبقى حكمه.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4- أنها فرقة توجب تحريمًا مؤبّدًا، فكانت فسخًا، كفرقة الرضاع.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5- أن اللعان ليس بصريح في الطلاق، ولا نوى به الطلاق، فلم يكن طلاقًا، كسائر ما ينفسخ به النكاح.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lastRenderedPageBreak/>
        <w:t>القول الثاني: فرقة اللعان طلاق: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- القائلون بذلك: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أبو حنيفة، ومحمد بن الحسن.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وقالا: إن الحرمة المترتبة على اللعان تزول إذا أكذب الزوج نفسه، أو خرج عن أهلية الشهادة، أو خرجت هي عن أهليتها للشهادة، لماذا؟</w:t>
      </w:r>
    </w:p>
    <w:p w:rsidR="00FD1691" w:rsidRPr="00D13ACB" w:rsidRDefault="00FD1691" w:rsidP="00FD1691">
      <w:pPr>
        <w:rPr>
          <w:b/>
          <w:bCs/>
          <w:sz w:val="24"/>
          <w:szCs w:val="24"/>
        </w:rPr>
      </w:pPr>
      <w:r w:rsidRPr="00D13ACB">
        <w:rPr>
          <w:b/>
          <w:bCs/>
          <w:sz w:val="24"/>
          <w:szCs w:val="24"/>
          <w:rtl/>
        </w:rPr>
        <w:t xml:space="preserve">لأن الزوج إذا أكذب نفسه اعتبر تكذيبه رجوعا عن اللعان، واللعان شهادة في رأيهما،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والشهادة لا حكم لها بعد الرجوع عنها.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وفي هذه الحالة يحد الرجل حد القذف.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- أدلتهم: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1- أنها فرقة من جهة الزوج، تخصّ النكاح، فكانت طلاقًا، كالفرقة بقوله: أنت طالقٌ، والقاضي إنما قام بالتفريق نيابة عنه.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والفرقة متى كانت من جانب الزوج وأمكن جعلها طلاقا كانت طلاقا لا فسخا.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 xml:space="preserve">وإنما كانت طلاقا بائنا، لتوقفها على القضاء، </w:t>
      </w:r>
    </w:p>
    <w:p w:rsidR="00FD1691" w:rsidRPr="00D13ACB" w:rsidRDefault="00FD1691" w:rsidP="00FD1691">
      <w:pPr>
        <w:rPr>
          <w:b/>
          <w:bCs/>
          <w:sz w:val="24"/>
          <w:szCs w:val="24"/>
          <w:rtl/>
        </w:rPr>
      </w:pPr>
      <w:r w:rsidRPr="00D13ACB">
        <w:rPr>
          <w:b/>
          <w:bCs/>
          <w:sz w:val="24"/>
          <w:szCs w:val="24"/>
          <w:rtl/>
        </w:rPr>
        <w:t>وكل فرقة تتوقف على القضاء تعتبر طلاقا بائنا.</w:t>
      </w:r>
    </w:p>
    <w:p w:rsidR="006E0831" w:rsidRPr="00D13ACB" w:rsidRDefault="00D13ACB" w:rsidP="006E0831">
      <w:pPr>
        <w:rPr>
          <w:rFonts w:hint="cs"/>
          <w:b/>
          <w:bCs/>
          <w:sz w:val="24"/>
          <w:szCs w:val="24"/>
          <w:rtl/>
        </w:rPr>
      </w:pPr>
      <w:r w:rsidRPr="00D13ACB">
        <w:rPr>
          <w:rFonts w:hint="cs"/>
          <w:b/>
          <w:bCs/>
          <w:sz w:val="24"/>
          <w:szCs w:val="24"/>
          <w:rtl/>
        </w:rPr>
        <w:t>،،،</w:t>
      </w:r>
    </w:p>
    <w:p w:rsidR="00D13ACB" w:rsidRPr="00D13ACB" w:rsidRDefault="00D13ACB" w:rsidP="006E0831">
      <w:pPr>
        <w:rPr>
          <w:b/>
          <w:bCs/>
          <w:sz w:val="24"/>
          <w:szCs w:val="24"/>
          <w:rtl/>
        </w:rPr>
      </w:pPr>
      <w:r w:rsidRPr="00D13ACB">
        <w:rPr>
          <w:rFonts w:hint="cs"/>
          <w:b/>
          <w:bCs/>
          <w:sz w:val="24"/>
          <w:szCs w:val="24"/>
          <w:rtl/>
        </w:rPr>
        <w:t xml:space="preserve">وبتوفيق للجميع : عداد الطالب خالد </w:t>
      </w:r>
    </w:p>
    <w:p w:rsidR="00B87E2A" w:rsidRPr="00D13ACB" w:rsidRDefault="00B87E2A" w:rsidP="006E0831">
      <w:pPr>
        <w:rPr>
          <w:b/>
          <w:bCs/>
          <w:sz w:val="24"/>
          <w:szCs w:val="24"/>
        </w:rPr>
      </w:pPr>
      <w:bookmarkStart w:id="0" w:name="_GoBack"/>
      <w:bookmarkEnd w:id="0"/>
    </w:p>
    <w:sectPr w:rsidR="00B87E2A" w:rsidRPr="00D13ACB" w:rsidSect="00D13ACB">
      <w:pgSz w:w="11906" w:h="16838"/>
      <w:pgMar w:top="1440" w:right="1800" w:bottom="1440" w:left="1800" w:header="708" w:footer="708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831"/>
    <w:rsid w:val="004C36AF"/>
    <w:rsid w:val="006E0831"/>
    <w:rsid w:val="00B87E2A"/>
    <w:rsid w:val="00D13ACB"/>
    <w:rsid w:val="00FD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7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2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1580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2015-04-06T06:01:00Z</dcterms:created>
  <dcterms:modified xsi:type="dcterms:W3CDTF">2015-04-06T06:24:00Z</dcterms:modified>
</cp:coreProperties>
</file>