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المحاضرة الثالثة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عنوان هذه المحاضرة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(قواعد وضوابط في التخريج)</w:t>
      </w:r>
    </w:p>
    <w:p w:rsidR="00A477BB" w:rsidRPr="00A477BB" w:rsidRDefault="00A477BB" w:rsidP="00A477BB">
      <w:pPr>
        <w:jc w:val="center"/>
      </w:pPr>
      <w:r w:rsidRPr="00A477BB">
        <w:rPr>
          <w:u w:val="single"/>
          <w:rtl/>
        </w:rPr>
        <w:t>وفيه ما يلي: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أولًا: بيان فروق المتن.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ثانيًا: بيان د</w:t>
      </w:r>
      <w:bookmarkStart w:id="0" w:name="_GoBack"/>
      <w:bookmarkEnd w:id="0"/>
      <w:r w:rsidRPr="00A477BB">
        <w:rPr>
          <w:b/>
          <w:bCs/>
          <w:rtl/>
        </w:rPr>
        <w:t>رجة النص.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ثالثًا: التخريج الإجمالي والتفصيلي.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رابعًا: تقسيم مصادر التخريج.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خامسًا: تحديد المصادر التي يعزو إليها التخريج.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سادسًا: ترتيب مصادر التخريج.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u w:val="single"/>
          <w:rtl/>
        </w:rPr>
        <w:t>أولًا: بيان فروق المتن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جرى التدوين العام للسنة وأقوال الصحابة والتابعين في عصر متأخر من الوقت الذي قيلت فيه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وكان الاعتماد في الغالب على نقلها مشافهة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فإذا أضيف إلى ذلك أن كثيراً من الرواة كانوا يروون النصوص بالمعنى أمكننا أن ندرك بسهولة السبب في وجود الاختلاف في ألفاظ الرواة في النص الواحد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ثم إذا عرفنا أهمية هذه النصوص واحتياج الأمة إليها في التشريع ...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أدركنا ضرورة معرفة اختلاف ألفاظ الرواة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وهذا هو المعبر عنه : ببيان فروق المتن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فمعنى بيان فروق المتن إذن </w:t>
      </w:r>
      <w:r w:rsidRPr="00A477BB">
        <w:rPr>
          <w:rtl/>
        </w:rPr>
        <w:t>هو: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ذكر الاتفاق والاختلاف بين النص الذي أمام الباحث ويقوم بتخريجه ، وبين ما في المصدر الذي يعزو </w:t>
      </w:r>
      <w:proofErr w:type="spellStart"/>
      <w:r w:rsidRPr="00A477BB">
        <w:rPr>
          <w:b/>
          <w:bCs/>
          <w:rtl/>
        </w:rPr>
        <w:t>إليه</w:t>
      </w:r>
      <w:r w:rsidRPr="00A477BB">
        <w:rPr>
          <w:rtl/>
        </w:rPr>
        <w:t>و</w:t>
      </w:r>
      <w:r w:rsidRPr="00A477BB">
        <w:rPr>
          <w:b/>
          <w:bCs/>
          <w:rtl/>
        </w:rPr>
        <w:t>بيان</w:t>
      </w:r>
      <w:proofErr w:type="spellEnd"/>
      <w:r w:rsidRPr="00A477BB">
        <w:rPr>
          <w:b/>
          <w:bCs/>
          <w:rtl/>
        </w:rPr>
        <w:t xml:space="preserve"> فروق المتن تحكمه الضوابط التالية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أ- وضع ضابط عام فيما ينبغي الاعتناء به من هذه الاختلافات أمر غير ممكن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والذي يحكم هذا هو: نوع البحث الذي فيه تخريج ذلك النص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فإذا كان الباحث في موضوع فقهي فلا شك أن مجال عنايته ألفاظ النص التي تستنبط منها الأحكام ، وعلى الأخص ما يتعلق بموضوعه الذي يبحث فيه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وكمثال على هذا فإن بعض الأئمة نقد البيهقي عند روايته حديث : «أيما إهاب دبغ فقد طهر» ، فإنه بعد أن رواه بإسناده عزاه إلى (صحيح مسلم ) مع أن الموجود في (صحيح مسلم ))</w:t>
      </w:r>
      <w:r w:rsidRPr="00A477BB">
        <w:rPr>
          <w:b/>
          <w:bCs/>
          <w:rtl/>
        </w:rPr>
        <w:t xml:space="preserve"> </w:t>
      </w:r>
      <w:r w:rsidRPr="00A477BB">
        <w:rPr>
          <w:rtl/>
        </w:rPr>
        <w:t>هو</w:t>
      </w:r>
      <w:r w:rsidRPr="00A477BB">
        <w:rPr>
          <w:b/>
          <w:bCs/>
          <w:rtl/>
        </w:rPr>
        <w:t xml:space="preserve"> </w:t>
      </w:r>
      <w:r w:rsidRPr="00A477BB">
        <w:rPr>
          <w:rtl/>
        </w:rPr>
        <w:t>بلفظ</w:t>
      </w:r>
      <w:r w:rsidRPr="00A477BB">
        <w:rPr>
          <w:b/>
          <w:bCs/>
          <w:rtl/>
        </w:rPr>
        <w:t xml:space="preserve"> : </w:t>
      </w:r>
      <w:r w:rsidRPr="00A477BB">
        <w:rPr>
          <w:rtl/>
        </w:rPr>
        <w:t>«إذا دبغ الإهاب فقد طهر» ، وبين اللفظين فرق كبير من جهة الحكم الفقهي.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>ولهذا فلو كان الباحث يخرج نصوص كتاب في (غريب الحديث) فإن عليه أن يعتني بهذا الجانب في بيان فروق المتن.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وكذا لو كان يخرج نصاَ جرى مجرى المثل فإن عليه أن يوليه عناية تخدم الغرض الذي من أجله سيق النص، وهو جريانه مجرى المثل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والخلاصة أن هذا الأمر منوط بفقه الباحث في التخريج وبخبرته وكثرة مرانه </w:t>
      </w:r>
      <w:r w:rsidRPr="00A477BB">
        <w:rPr>
          <w:rtl/>
        </w:rPr>
        <w:t>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ب- من فقه التخريج أن لا يلتزم الباحث ببيان فروق المتن على التفصيل ، بل يفعل ذلك بحسب الحاجة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ولكن ما يتركه الباحث دون تفصيل عليه أن يفعله على طريق الإجمال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وقد يجمع بين الأمرين : يفصل شيئاً ويجمل ما بقي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lastRenderedPageBreak/>
        <w:t>وهذا أيضاً راجع إلى فقه المخرج ودرايته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مصطلحات في بيان فروق المتن: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وقد استخدم الأئمة والباحثون مصطلحات في بيانهم لفروق المتن والاتفاق والاختلاف بطريقة مجملة ، يختار منها الباحث ما يناسب النص الذي معه 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>ومن هذه المصطلحات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1- بلفظه : </w:t>
      </w:r>
      <w:r w:rsidRPr="00A477BB">
        <w:rPr>
          <w:rtl/>
        </w:rPr>
        <w:t>يستعملها الباحث إذا كان النص الذي أمامه موافقاً للنص في المصدر الذي يعزو إليه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2- بنحوه : </w:t>
      </w:r>
      <w:r w:rsidRPr="00A477BB">
        <w:rPr>
          <w:rtl/>
        </w:rPr>
        <w:t>إذا كان الاختلاف بين النص يسيراً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3- بمعناه : </w:t>
      </w:r>
      <w:r w:rsidRPr="00A477BB">
        <w:rPr>
          <w:rtl/>
        </w:rPr>
        <w:t>إذا كان الاختلاف بين النصين واسعاً واتفقا في المعنى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مع ملاحظة أن كثيراً من الأئمة يعبر بإحدى الكلمتين: (بنحوه، بمعناه) في مقام الأخرى ، ولكن الباحثين في الوقت الحاضر مالوا إلى التدقيق ، ففرقوا بينهما كما سبق.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4- مختصراً : </w:t>
      </w:r>
      <w:r w:rsidRPr="00A477BB">
        <w:rPr>
          <w:rtl/>
        </w:rPr>
        <w:t>إذا كان النص في المصدر الذي يعزو إليه فيه اختصار وحذف بالنسبة للنص الذي أمام الباحث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5- مطولاً : </w:t>
      </w:r>
      <w:r w:rsidRPr="00A477BB">
        <w:rPr>
          <w:rtl/>
        </w:rPr>
        <w:t>إذا كان النص في المصدر الذي يعزو إليه فيه طول في السياق بالنسبة للنص الذي أمام الباحث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6- في أثناء حديث : </w:t>
      </w:r>
      <w:r w:rsidRPr="00A477BB">
        <w:rPr>
          <w:rtl/>
        </w:rPr>
        <w:t>إذا كان النص الذي أمام الباحث موجوداً في المصدر الذي يعزو إليه في ضمن حديث مطول.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ويحتاج الباحث إلى دقة في استعمال هذا المصطلح ، إذ قد يشتبه عليه بمصطلح : مختصراً ، مع أن بينهما فرقًا: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فالاختصار معناه أن الحديث واحد ووقع اختصار وحذف في السياق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وأما الآخر فالحديث مختلف ، وقد لا يكون له علاقة لباقيه بالنص الذي يخرجه الباحث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7- في أوله - أو في آخره - زيادة ، أو قصة : </w:t>
      </w:r>
      <w:r w:rsidRPr="00A477BB">
        <w:rPr>
          <w:rtl/>
        </w:rPr>
        <w:t>إذا كان الحديث بهذه الصفة في المصدر الذي يعزو إليه الباحث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8- مفرقاً : </w:t>
      </w:r>
      <w:r w:rsidRPr="00A477BB">
        <w:rPr>
          <w:rtl/>
        </w:rPr>
        <w:t>إذا كان النص الذي أمام الباحث موجوداً في المصدر الذي يعزو إليه في أماكن متفرقة في الكتاب ، في كل مكان جزء من الحديث ، وفي مجموعها النص كله 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 xml:space="preserve">وفي كثير من الأحيان يجمع الباحث بين مصطلحين عند الحاجة إلى هذا ، فيقول مثلاً : أخرجه أحمد ... مختصراً في أثناء حديث ، أو بلفظه وفي آخره قصة أو بمعناه </w:t>
      </w:r>
      <w:proofErr w:type="spellStart"/>
      <w:r w:rsidRPr="00A477BB">
        <w:rPr>
          <w:rtl/>
        </w:rPr>
        <w:t>مطولاً</w:t>
      </w:r>
      <w:r w:rsidRPr="00A477BB">
        <w:rPr>
          <w:b/>
          <w:bCs/>
          <w:u w:val="single"/>
          <w:rtl/>
        </w:rPr>
        <w:t>ثانيًا</w:t>
      </w:r>
      <w:proofErr w:type="spellEnd"/>
      <w:r w:rsidRPr="00A477BB">
        <w:rPr>
          <w:b/>
          <w:bCs/>
          <w:u w:val="single"/>
          <w:rtl/>
        </w:rPr>
        <w:t>: بيان درجة النص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لا تحتاج جميع النصوص إلى بيان درجتها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فمن النصوص ما يغني عزوه إلى مصادره عن بيان درجته ، فالعزو إلى «صحيح البخاري» و «صحيح مسلم» كاف في الدلالة على صحة النص ، وليس ذلك لغير هذين الكتابين.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مع التنبيه إلى أن النص إذا كان حديثاً نبوياً فيتأكد من عزوه إلى أحد هذين الكتابين أنه فيه عن ذلك الصحابي الذي أمامه.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فقد يكون الحديث عند الباحث عن صحابي وهو فيهما  أو في أحدهما عن صحابي آخر 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 xml:space="preserve">وهذا وإن كان يشمل غيرهما إلا أنه فيهما </w:t>
      </w:r>
      <w:proofErr w:type="spellStart"/>
      <w:r w:rsidRPr="00A477BB">
        <w:rPr>
          <w:rtl/>
        </w:rPr>
        <w:t>آكد</w:t>
      </w:r>
      <w:proofErr w:type="spellEnd"/>
      <w:r w:rsidRPr="00A477BB">
        <w:rPr>
          <w:rtl/>
        </w:rPr>
        <w:t xml:space="preserve"> ؛ لأن مجرد العزو إليهما دال على صحة الحديث ، وقد يصح الحديث عن صحابي ولا يصح عن صحابي </w:t>
      </w:r>
      <w:proofErr w:type="spellStart"/>
      <w:r w:rsidRPr="00A477BB">
        <w:rPr>
          <w:rtl/>
        </w:rPr>
        <w:t>آخروفي</w:t>
      </w:r>
      <w:proofErr w:type="spellEnd"/>
      <w:r w:rsidRPr="00A477BB">
        <w:rPr>
          <w:rtl/>
        </w:rPr>
        <w:t xml:space="preserve"> مقابل التصحيح هناك كتب يدل على العزو إليها على أن النص موضوع على من نسب إليه أو ساقط الدرجة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وذلك مثل: كتب الأحاديث الموضوعة كـ «الموضوعات» لابن الجوزي ، و«اللآلئ المصنوعة في الأحاديث الموضوعة» للسيوطي ، و«العلل المتناهية في الأحاديث الواهية» لابن الجوزي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وهذا النوع يحتاج إلى تحرٍ ؛ خشية أن يكون المؤلف لم يوافَق على حكمه على النص 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>فإذا لم يكن النص من أحد هذين النوعين فيحتاج حينئذ إلى بيان درجته غالبًا.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ولا يخلو الباحث حينئذ من حالين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lastRenderedPageBreak/>
        <w:t>الأولى : أن يكون لديه القدرة على دراسة الأسانيد ولديه الرغبة والجرأة على الحكم عليها: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فهذا يحكم بما أداه إليه اجتهاده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الثانية : أن لا تكون لديه القدرة على الاجتهاد ، أو لديه القدرة ولكن يرى أن سد هذا الباب لئلا يلج منه من لا يحسنه كما هو حاصل الآن، أولى من الاجتهاد :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>فهذا يبحث في كتب الأئمة الذين تكلموا على النصوص؛ لعله يقف على من ذكر درجة للنص الذي أمامه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وذلك مثل:</w:t>
      </w:r>
    </w:p>
    <w:p w:rsidR="00A477BB" w:rsidRDefault="00A477BB" w:rsidP="00A477BB">
      <w:pPr>
        <w:jc w:val="center"/>
        <w:rPr>
          <w:rFonts w:hint="cs"/>
          <w:b/>
          <w:bCs/>
          <w:u w:val="single"/>
          <w:rtl/>
        </w:rPr>
      </w:pPr>
      <w:r w:rsidRPr="00A477BB">
        <w:rPr>
          <w:rtl/>
        </w:rPr>
        <w:t xml:space="preserve">كتب تخريج النصوص التي تكلم فيها الأئمة على النصوص تصحيحاً وتضعيفاً ، وجمعوا فيها أقوال من سبقهم كـ : «نصب الراية»  </w:t>
      </w:r>
      <w:proofErr w:type="spellStart"/>
      <w:r w:rsidRPr="00A477BB">
        <w:rPr>
          <w:rtl/>
        </w:rPr>
        <w:t>للزيلعي</w:t>
      </w:r>
      <w:proofErr w:type="spellEnd"/>
      <w:r w:rsidRPr="00A477BB">
        <w:rPr>
          <w:rtl/>
        </w:rPr>
        <w:t xml:space="preserve"> ، و «التلخيص</w:t>
      </w:r>
      <w:r w:rsidRPr="00A477BB">
        <w:rPr>
          <w:b/>
          <w:bCs/>
          <w:rtl/>
        </w:rPr>
        <w:t xml:space="preserve"> </w:t>
      </w:r>
      <w:r w:rsidRPr="00A477BB">
        <w:rPr>
          <w:rtl/>
        </w:rPr>
        <w:t>الحبير» لابن حجر ، و«المقاصد الحسنة» للسخاوي ، وغيرها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u w:val="single"/>
          <w:rtl/>
        </w:rPr>
        <w:t>ثالثًا: التخريج الإجمالي والتفصيلي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عزو النص إلى من أخرجه ، وبيان فروق المتن ، وبيان  درجة النص، تشكل عناصر التخريج الرئيسية ، فمن وفى بها فقد أتى بتمام التخريج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وكل واحد من هذه العناصر يمكن عرضه بصورة مفصلة ، كما يمكن عرضه أيضاً بصورة مجملة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وتمام العزو يتضمن: ذكر اسم الكتاب المؤلَّف ، واسم الكتاب داخل الكتاب المؤلف ، واسم الباب ، ورقم الجزء والصفحة ، ورقم الحديث .</w:t>
      </w:r>
    </w:p>
    <w:p w:rsidR="00A477BB" w:rsidRDefault="00A477BB" w:rsidP="00A477BB">
      <w:pPr>
        <w:jc w:val="center"/>
        <w:rPr>
          <w:rFonts w:hint="cs"/>
          <w:rtl/>
        </w:rPr>
      </w:pPr>
      <w:r w:rsidRPr="00A477BB">
        <w:rPr>
          <w:rtl/>
        </w:rPr>
        <w:t>فذكر هذه الأشياء عزو تفصيلي ، واختصار شيء منها يعتبر إجمالًا لهذا التفصيل 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>ويمكن أن يقال: إن وضع ضابط يقع به الحد بين التخريج الإجمالي والتخريج التفصيلي غير ممكن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لماذا؟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لأن كل تخريج يقوم به باحث إذا قيل إنه تخريج تفصيلي ، ثم قورن بتخريج أكثر تفصيلاً منه ، فإنه يعد تخريجاً إجمالياً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وإذا قيل إنه تخريج إجمالي ، ثم قورن بتخريج أقل إجمالاً ، فإنه يعد تخريجاً تفصيلياً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ومع ذلك فهناك درجة من الإجمال ليس دونها درجة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وهي أن يكتفي المخرّج في العزو بذكر اسم المؤلف فقط ، كأن يقول : أخرجه البخاري ، أو أخرجه أحمد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فما الذي ينبغي أن يسلكه الباحث إذن ؟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هل يوغل في التفصيل أو يوغل في الإجمال أو يتوسط ؟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والإجابة تحددها نوعية البحث الذي تخرج فيه النصوص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ففي مثل الرسائل العلمية في الدراسات العليا – مثلًا - يكون التخريج تفصيلياً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وفي رسالة يفردها الباحث لدراسة نص معين وبيان درجته يكون أكثر تفصيلاً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وفي مثل خطب الجمعة ، ومقالات عامة في مجلة ، ونحو ذلك يكون التخريج في أدنى درجات الإجمال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u w:val="single"/>
          <w:rtl/>
        </w:rPr>
        <w:t>رابعًا: تقسيم مصادر التخريج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سبق أن قلنا إن مصادر التخريج قسمان رئيسيان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الأول : مصادر أصلية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الثاني : مصادر فرعية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ويلاحظ في العزو إلى المصادر الأصلية والفرعية ثلاثة أمور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1- أن الأصل في العزو يكون إلى مصدر أصلي كما سبق.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lastRenderedPageBreak/>
        <w:t>ولا يعدل عن هذا الأصل إلا عند الضرورة ، وذلك إذا لم يقف الباحث على النص في مصدر أصلي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فلا يصح عزو النص مثلاً إلى «زاد المعاد» لابن القيم، أو «الجامع الصغير» للسيوطي ، وهو موجود في «مصنف عبد الرزاق» أو في «سنن الترمذي».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قد يجمع الباحث بين العزو إلى مصدر أصلي والعزو إلى مصدر فرعي في حالات معينة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أ- مثل أن يذكر صاحب المصدر الفرعي طريقاً جديدة للنص لم يقف عليها الباحث في مصدر أصلي ، وهو مع ذلك محتاج إليها في دراسته لأسانيد النص ونظره في اختلاف وقع في تلك الأسانيد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ب- ومن الحالات كذلك أن يكون مؤلف المصدر الفرعي قد حكم على النص ، ويريد الباحث أن ينقل هذا الحكم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ج- أو يكون المؤلف قد نقل عن إمام متقدم كلمة له في النص ؛ إما بتصحيحه أو بتعليله أو بترجيح رواية على رواية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3- العزو إلى  مصدر فرعي إذا كان هذا المصدر لا يروي بالإسناد ليس بتخريج للنص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وقد سبق ذلك في تعريف التخريج في الاصطلاح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وإلحاق المصادر الفرعية بمصادر التخريج من باب التجوز ، فهو عزو في الجملة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وأيضاً قد يكون بديلاً عن مصدر أصلي كما تقدم فيأخذ حكمه.</w:t>
      </w:r>
    </w:p>
    <w:p w:rsidR="00A477BB" w:rsidRPr="00A477BB" w:rsidRDefault="00A477BB" w:rsidP="00A477BB">
      <w:pPr>
        <w:jc w:val="center"/>
      </w:pPr>
      <w:r w:rsidRPr="00A477BB">
        <w:rPr>
          <w:rtl/>
        </w:rPr>
        <w:t xml:space="preserve">ومن جهة ثالثة قد يحكم على النص أو ينقل حكم إمام ، وقد سبق أن من عناصر التخريج بيان درجة </w:t>
      </w:r>
      <w:proofErr w:type="spellStart"/>
      <w:r w:rsidRPr="00A477BB">
        <w:rPr>
          <w:rtl/>
        </w:rPr>
        <w:t>النصومع</w:t>
      </w:r>
      <w:proofErr w:type="spellEnd"/>
      <w:r w:rsidRPr="00A477BB">
        <w:rPr>
          <w:rtl/>
        </w:rPr>
        <w:t xml:space="preserve"> هذا فإنه يفرق بين العزو إلى مصدر يروي بالإسناد والعزو إلى مصدر فرعي محذوف الأسانيد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فيقال في العزو إلى الأول : </w:t>
      </w:r>
      <w:r w:rsidRPr="00A477BB">
        <w:rPr>
          <w:rtl/>
        </w:rPr>
        <w:t>خرجه ، أو : أخرجه ، أو : رواه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على حين يقال في الثاني : </w:t>
      </w:r>
      <w:r w:rsidRPr="00A477BB">
        <w:rPr>
          <w:rtl/>
        </w:rPr>
        <w:t>ذكره ، أو : ساقه ، أو : أورده ، ونحو ذلك من العبارات التي تشعر بأنه لم يروه بالإسناد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u w:val="single"/>
          <w:rtl/>
        </w:rPr>
        <w:t>خامسًا: تحديد المصادر التي يعزو إليها التخريج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ويمكن تلخيص ذلك في ثلاث نقاط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1- يكتفي الباحث بأمهات مصادر الفن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ففي السنة : يكتفي مثلاً بالكتب الستة ، أو يضيف إليها «مسند أحمد» ، أو «موطأ مالك» ، بحسب نظره واجتهاده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فيلتزم استيعاب العزو إلى هذه الأمهات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فكل حديث لا يعزوه إليها أو إلى واحد منه يعرف القارئ أنه غير موجود فيما تركه الباحث من مصادر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2- يلتزم الباحث بذكر مصادر بديلة في حالة عدم وجود النص في المصادر التي حددها أو في بعضها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كأن يقول : إذا لم أجد الحديث في «صحيح البخاري» ولا في «صحيح مسلم» ذكرت مكانهما كتابين من الكتب التي التزم أصحابها الصحة مثل : «صحيح ابن خزيمة» ، و «صحيح ابن حبان»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أو أن يقول : إن كان النقص من المصادر في غير «الصحيحين» أضفت إلى مصادري ما يكمل عددها من كتب السنة الأخرى مبتدئاً بالأقدم وفاة ،</w:t>
      </w:r>
    </w:p>
    <w:p w:rsidR="00A477BB" w:rsidRDefault="00A477BB" w:rsidP="00A477BB">
      <w:pPr>
        <w:jc w:val="center"/>
        <w:rPr>
          <w:rFonts w:hint="cs"/>
          <w:rtl/>
        </w:rPr>
      </w:pPr>
      <w:r w:rsidRPr="00A477BB">
        <w:rPr>
          <w:rtl/>
        </w:rPr>
        <w:t>أو ينص على أسماء المصادر البديلة ، وترتيبها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>3- يلتزم الباحث بالنظر فيما يستطيع الوقوف عليه من مصادر الفن ، غير التي حددها للتخريج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ثم يذكر من هذه المصادر في تخريجه ما فيه فائدة جديدة </w:t>
      </w:r>
      <w:r w:rsidRPr="00A477BB">
        <w:rPr>
          <w:rtl/>
        </w:rPr>
        <w:t>ليست في المصادر التي التزم التخريج منها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وهذه الفوائد قد تكون في المتن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كأن يكون لفظ النص الذي يقوم بتخريجه موجوداً في مصدر خارج المصادر التي التزمها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lastRenderedPageBreak/>
        <w:t>أو في ذلك المصدر زيادة يحسن ذكرها ،</w:t>
      </w:r>
    </w:p>
    <w:p w:rsidR="00A477BB" w:rsidRPr="00A477BB" w:rsidRDefault="00A477BB" w:rsidP="00A477BB">
      <w:pPr>
        <w:jc w:val="center"/>
        <w:rPr>
          <w:rFonts w:hint="cs"/>
          <w:rtl/>
        </w:rPr>
      </w:pPr>
      <w:r w:rsidRPr="00A477BB">
        <w:rPr>
          <w:b/>
          <w:bCs/>
          <w:rtl/>
        </w:rPr>
        <w:t xml:space="preserve">وقد تكون في الإسناد </w:t>
      </w:r>
      <w:r w:rsidRPr="00A477BB">
        <w:rPr>
          <w:rtl/>
        </w:rPr>
        <w:t>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كطريق غير موجود في مصادره ، وهو محتاج لهذا الطريق في نظره في الأسانيد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u w:val="single"/>
          <w:rtl/>
        </w:rPr>
        <w:t>سادسًا: ترتيب مصادر التخريج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أما المصادر الفرعية </w:t>
      </w:r>
      <w:r w:rsidRPr="00A477BB">
        <w:rPr>
          <w:rtl/>
        </w:rPr>
        <w:t>التي لا تروي الحديث بالإسناد فيرتبها الباحث على ما هو المعهود في النقل عن المصادر المتقدمة علينا: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وذلك بترتيبها على حسب وفاة مؤلفيها المتقدم فالمتقدم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ولا يعدل عن هذا الترتيب إلا لسبب يرى الباحث أنه باعث على تقديم من تأخرت وفاته على من هو متقدم عليه .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وأما المصادر الأصلية </w:t>
      </w:r>
      <w:r w:rsidRPr="00A477BB">
        <w:rPr>
          <w:rtl/>
        </w:rPr>
        <w:t xml:space="preserve">التي تروي الحديث بالإسناد </w:t>
      </w:r>
      <w:r w:rsidRPr="00A477BB">
        <w:rPr>
          <w:b/>
          <w:bCs/>
          <w:rtl/>
        </w:rPr>
        <w:t xml:space="preserve">فهناك عدة طرق يمكن أن يسلكها الباحث </w:t>
      </w:r>
      <w:r w:rsidRPr="00A477BB">
        <w:rPr>
          <w:rtl/>
        </w:rPr>
        <w:t>، أشهرها طريقان: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>الأول: أن يرتب مصادره على حسب وفاة مؤلفيها :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فلو أخرج عبد الرزاق وأحمد والبخاري ومسلم الحديث، ورأى الباحث العزو إليها كلها، فإنه يبتدئ بعبد الرزاق ، ثم بأحمد ، ثم البخاري ، ثم مسلم، لأن ترتيبهم في الوفاة هكذا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وهذه الطريقة تصلح للأحاديث ولغيرها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b/>
          <w:bCs/>
          <w:rtl/>
        </w:rPr>
        <w:t xml:space="preserve">والثاني: أن يبتدئ بذكر الكتب الستة </w:t>
      </w:r>
      <w:r w:rsidRPr="00A477BB">
        <w:rPr>
          <w:rtl/>
        </w:rPr>
        <w:t>(الصحيحين ، والسنن الأربعة) ، أو من أخرج نصه منها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ويرتبها على ترتيبها المعهود عند العلماء ، وهو هكذا : البخاري، ثم مسلم ، ثم أبو داود ، ثم الترمذي ، ثم النسائي ، ثم ابن ماجه ،</w:t>
      </w:r>
    </w:p>
    <w:p w:rsidR="00A477BB" w:rsidRPr="00A477BB" w:rsidRDefault="00A477BB" w:rsidP="00A477BB">
      <w:pPr>
        <w:jc w:val="center"/>
      </w:pPr>
      <w:r w:rsidRPr="00A477BB">
        <w:rPr>
          <w:b/>
          <w:bCs/>
          <w:rtl/>
        </w:rPr>
        <w:t xml:space="preserve">ثم بعدها يعود إلى الطريقة الأولى </w:t>
      </w:r>
      <w:r w:rsidRPr="00A477BB">
        <w:rPr>
          <w:rtl/>
        </w:rPr>
        <w:t>فيرتب باقي مصادره بحسب</w:t>
      </w:r>
      <w:r w:rsidRPr="00A477BB">
        <w:rPr>
          <w:b/>
          <w:bCs/>
          <w:rtl/>
        </w:rPr>
        <w:t xml:space="preserve"> </w:t>
      </w:r>
      <w:r w:rsidRPr="00A477BB">
        <w:rPr>
          <w:rtl/>
        </w:rPr>
        <w:t>الوفاة.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وهذه الطريقة أشهر الطرق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ولكنها خاصة بالأحاديث النبوية تقريباً ،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فإن هذه الكتب مخصصة لها .</w:t>
      </w:r>
    </w:p>
    <w:p w:rsidR="00A477BB" w:rsidRPr="00A477BB" w:rsidRDefault="00A477BB" w:rsidP="00A477BB">
      <w:pPr>
        <w:jc w:val="center"/>
        <w:rPr>
          <w:rtl/>
        </w:rPr>
      </w:pPr>
      <w:r w:rsidRPr="00A477BB">
        <w:rPr>
          <w:rtl/>
        </w:rPr>
        <w:t>ثم إن بعض المخرجين يلحق بهذه الكتب: «مسند أحمد» ، ويجعل الترتيب على الوفاة بعده</w:t>
      </w:r>
    </w:p>
    <w:p w:rsidR="00A07A2D" w:rsidRDefault="00A07A2D" w:rsidP="00A477BB">
      <w:pPr>
        <w:jc w:val="center"/>
      </w:pPr>
    </w:p>
    <w:sectPr w:rsidR="00A07A2D" w:rsidSect="00A477BB">
      <w:footerReference w:type="default" r:id="rId7"/>
      <w:pgSz w:w="11906" w:h="16838"/>
      <w:pgMar w:top="720" w:right="720" w:bottom="720" w:left="72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1C3" w:rsidRDefault="00F141C3" w:rsidP="00A477BB">
      <w:pPr>
        <w:spacing w:after="0" w:line="240" w:lineRule="auto"/>
      </w:pPr>
      <w:r>
        <w:separator/>
      </w:r>
    </w:p>
  </w:endnote>
  <w:endnote w:type="continuationSeparator" w:id="0">
    <w:p w:rsidR="00F141C3" w:rsidRDefault="00F141C3" w:rsidP="00A47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7BB" w:rsidRPr="00A477BB" w:rsidRDefault="00A477BB" w:rsidP="00A477BB">
    <w:pPr>
      <w:pStyle w:val="a5"/>
    </w:pPr>
    <w:proofErr w:type="spellStart"/>
    <w:r w:rsidRPr="00A477BB">
      <w:t>fajr.a</w:t>
    </w:r>
    <w:proofErr w:type="spellEnd"/>
  </w:p>
  <w:p w:rsidR="00A477BB" w:rsidRDefault="00A477BB" w:rsidP="00A477BB">
    <w:pPr>
      <w:pStyle w:val="a5"/>
    </w:pPr>
  </w:p>
  <w:p w:rsidR="00A477BB" w:rsidRDefault="00A477B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1C3" w:rsidRDefault="00F141C3" w:rsidP="00A477BB">
      <w:pPr>
        <w:spacing w:after="0" w:line="240" w:lineRule="auto"/>
      </w:pPr>
      <w:r>
        <w:separator/>
      </w:r>
    </w:p>
  </w:footnote>
  <w:footnote w:type="continuationSeparator" w:id="0">
    <w:p w:rsidR="00F141C3" w:rsidRDefault="00F141C3" w:rsidP="00A477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7BB"/>
    <w:rsid w:val="006D6D83"/>
    <w:rsid w:val="00A07A2D"/>
    <w:rsid w:val="00A477BB"/>
    <w:rsid w:val="00F1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77B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477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477BB"/>
  </w:style>
  <w:style w:type="paragraph" w:styleId="a5">
    <w:name w:val="footer"/>
    <w:basedOn w:val="a"/>
    <w:link w:val="Char0"/>
    <w:uiPriority w:val="99"/>
    <w:unhideWhenUsed/>
    <w:rsid w:val="00A477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477BB"/>
  </w:style>
  <w:style w:type="paragraph" w:styleId="a6">
    <w:name w:val="Balloon Text"/>
    <w:basedOn w:val="a"/>
    <w:link w:val="Char1"/>
    <w:uiPriority w:val="99"/>
    <w:semiHidden/>
    <w:unhideWhenUsed/>
    <w:rsid w:val="00A47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477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77B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477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477BB"/>
  </w:style>
  <w:style w:type="paragraph" w:styleId="a5">
    <w:name w:val="footer"/>
    <w:basedOn w:val="a"/>
    <w:link w:val="Char0"/>
    <w:uiPriority w:val="99"/>
    <w:unhideWhenUsed/>
    <w:rsid w:val="00A477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477BB"/>
  </w:style>
  <w:style w:type="paragraph" w:styleId="a6">
    <w:name w:val="Balloon Text"/>
    <w:basedOn w:val="a"/>
    <w:link w:val="Char1"/>
    <w:uiPriority w:val="99"/>
    <w:semiHidden/>
    <w:unhideWhenUsed/>
    <w:rsid w:val="00A47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477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1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1496</Words>
  <Characters>8531</Characters>
  <Application>Microsoft Office Word</Application>
  <DocSecurity>0</DocSecurity>
  <Lines>71</Lines>
  <Paragraphs>20</Paragraphs>
  <ScaleCrop>false</ScaleCrop>
  <Company/>
  <LinksUpToDate>false</LinksUpToDate>
  <CharactersWithSpaces>10007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2015-09-07T08:49:00Z</dcterms:created>
  <dcterms:modified xsi:type="dcterms:W3CDTF">2015-09-07T08:56:00Z</dcterms:modified>
</cp:coreProperties>
</file>