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17C" w:rsidRDefault="00C82D8B" w:rsidP="00C82D8B">
      <w:pPr>
        <w:rPr>
          <w:rFonts w:hint="cs"/>
          <w:rtl/>
        </w:rPr>
      </w:pPr>
      <w:r w:rsidRPr="00C82D8B">
        <w:rPr>
          <w:b/>
          <w:bCs/>
          <w:rtl/>
        </w:rPr>
        <w:t>الاختبارات الإحصائية</w:t>
      </w:r>
      <w:r>
        <w:rPr>
          <w:rFonts w:hint="cs"/>
          <w:rtl/>
        </w:rPr>
        <w:t>:</w:t>
      </w:r>
    </w:p>
    <w:p w:rsidR="00000000" w:rsidRPr="00C82D8B" w:rsidRDefault="00A56EDF" w:rsidP="00C82D8B">
      <w:pPr>
        <w:numPr>
          <w:ilvl w:val="0"/>
          <w:numId w:val="1"/>
        </w:numPr>
      </w:pPr>
      <w:r w:rsidRPr="00C82D8B">
        <w:rPr>
          <w:rtl/>
        </w:rPr>
        <w:t xml:space="preserve">تنقسم </w:t>
      </w:r>
      <w:r w:rsidRPr="00C82D8B">
        <w:rPr>
          <w:rtl/>
        </w:rPr>
        <w:t xml:space="preserve">اختبارات الإحصائية  إلي </w:t>
      </w:r>
      <w:r w:rsidRPr="00C82D8B">
        <w:rPr>
          <w:rtl/>
        </w:rPr>
        <w:t>:</w:t>
      </w:r>
    </w:p>
    <w:p w:rsidR="00C82D8B" w:rsidRPr="00C82D8B" w:rsidRDefault="00C82D8B" w:rsidP="00C82D8B">
      <w:pPr>
        <w:rPr>
          <w:rtl/>
        </w:rPr>
      </w:pPr>
      <w:r w:rsidRPr="00C82D8B">
        <w:rPr>
          <w:rtl/>
        </w:rPr>
        <w:t xml:space="preserve">     الاختبارات معلميه . </w:t>
      </w:r>
    </w:p>
    <w:p w:rsidR="00C82D8B" w:rsidRPr="00C82D8B" w:rsidRDefault="00C82D8B" w:rsidP="00C82D8B">
      <w:pPr>
        <w:rPr>
          <w:rtl/>
        </w:rPr>
      </w:pPr>
      <w:r w:rsidRPr="00C82D8B">
        <w:rPr>
          <w:rtl/>
        </w:rPr>
        <w:t xml:space="preserve">    الاختبارات اللامعلميه .</w:t>
      </w:r>
    </w:p>
    <w:p w:rsidR="00000000" w:rsidRPr="00C82D8B" w:rsidRDefault="00A56EDF" w:rsidP="00C82D8B">
      <w:pPr>
        <w:numPr>
          <w:ilvl w:val="0"/>
          <w:numId w:val="2"/>
        </w:numPr>
        <w:rPr>
          <w:rtl/>
        </w:rPr>
      </w:pPr>
      <w:r w:rsidRPr="00C82D8B">
        <w:rPr>
          <w:rtl/>
        </w:rPr>
        <w:t xml:space="preserve"> </w:t>
      </w:r>
      <w:r w:rsidRPr="00C82D8B">
        <w:rPr>
          <w:b/>
          <w:bCs/>
          <w:rtl/>
        </w:rPr>
        <w:t>في معنى الإحصاء ألمعلمي والإحصاء اللامعلمي :</w:t>
      </w:r>
      <w:r w:rsidRPr="00C82D8B">
        <w:t xml:space="preserve"> </w:t>
      </w:r>
    </w:p>
    <w:p w:rsidR="00C82D8B" w:rsidRPr="00C82D8B" w:rsidRDefault="00C82D8B" w:rsidP="00C82D8B">
      <w:pPr>
        <w:rPr>
          <w:rtl/>
        </w:rPr>
      </w:pPr>
      <w:r w:rsidRPr="00C82D8B">
        <w:rPr>
          <w:rtl/>
        </w:rPr>
        <w:t xml:space="preserve">        المعلم   (</w:t>
      </w:r>
      <w:r w:rsidRPr="00C82D8B">
        <w:t>parametric</w:t>
      </w:r>
      <w:r w:rsidRPr="00C82D8B">
        <w:rPr>
          <w:rtl/>
        </w:rPr>
        <w:t>) مفردة تعني صفة أو خاصية لمجتمع معين في مقابل تقدير (</w:t>
      </w:r>
      <w:r w:rsidRPr="00C82D8B">
        <w:t>estimate</w:t>
      </w:r>
      <w:r w:rsidRPr="00C82D8B">
        <w:rPr>
          <w:rtl/>
        </w:rPr>
        <w:t>) التي تكون صفة أو خاصية لعينة ما ، واهم مايميز الاحصاء المعلمي عن اللامعلمي هو الوسط الحسابي والانحراف المعياري ولذلك فان علم الاحصاء</w:t>
      </w:r>
    </w:p>
    <w:p w:rsidR="00C82D8B" w:rsidRPr="00C82D8B" w:rsidRDefault="00C82D8B" w:rsidP="00C82D8B">
      <w:r w:rsidRPr="00C82D8B">
        <w:rPr>
          <w:rtl/>
        </w:rPr>
        <w:t xml:space="preserve">          يميز بين شروط اختبار (ت) للعينات المستقلة و (ت) للعينات المترابطة لان الاخير لا يتعامل مع اوساط وانحرافات بينما نلاحظ ان اختبار (ت) للعينات المستقلة يتعامل معها اسوة بقوانين تحليل التباين (</w:t>
      </w:r>
      <w:r w:rsidRPr="00C82D8B">
        <w:t>F</w:t>
      </w:r>
      <w:r w:rsidRPr="00C82D8B">
        <w:rPr>
          <w:rtl/>
        </w:rPr>
        <w:t>) وقوانين (</w:t>
      </w:r>
      <w:r w:rsidRPr="00C82D8B">
        <w:t>Z</w:t>
      </w:r>
      <w:r w:rsidRPr="00C82D8B">
        <w:rPr>
          <w:rtl/>
        </w:rPr>
        <w:t xml:space="preserve">)  ، من هنا ممكن فهم الاحصاء المعلمي بانه مجموعة من الطرق التي تتطلب تحقق افتراضات محددة حول المجتمع الذي تسحب منه العينة -وهنا مقتضى الدقة الانتباه للتعبير (حول المجتمع) كونه يختلف عن     (حول العينة) </w:t>
      </w:r>
    </w:p>
    <w:p w:rsidR="00C82D8B" w:rsidRDefault="00C82D8B" w:rsidP="00C82D8B">
      <w:pPr>
        <w:rPr>
          <w:rFonts w:hint="cs"/>
          <w:rtl/>
        </w:rPr>
      </w:pPr>
      <w:r w:rsidRPr="00C82D8B">
        <w:rPr>
          <w:rtl/>
        </w:rPr>
        <w:t>وبالتالي فان الإحصاء اللامعلمي هو مجموعة من الطرق البديلة التي تستخدم في حالات عدم تحقق الافتراضات حول المجتمع الذي تسحب منه العينة أو في حالة البيانات الاسمية والرتيبة ، وكلا الاحصائين (المعلمي،اللامعلمي) من طرق الاحصاء الاستدلالي التي يمكن تعميم نتائجها على المجتمع الا ان لكل منها مستوى ثقة معين يتحدد على ضوء البيانات المتوفرة وكذلك شروط تحقق الافتراضات .</w:t>
      </w:r>
    </w:p>
    <w:p w:rsidR="00C82D8B" w:rsidRPr="00C82D8B" w:rsidRDefault="00C82D8B" w:rsidP="00C82D8B">
      <w:r w:rsidRPr="00C82D8B">
        <w:rPr>
          <w:rtl/>
        </w:rPr>
        <w:t xml:space="preserve">   اختبار مربع كأي تربيع من الاختبارات اللامعلميه ويضم ثلاثة اختبارات هي:</w:t>
      </w:r>
      <w:r w:rsidRPr="00C82D8B">
        <w:t xml:space="preserve"> </w:t>
      </w:r>
    </w:p>
    <w:p w:rsidR="00C82D8B" w:rsidRPr="00C82D8B" w:rsidRDefault="00C82D8B" w:rsidP="00C82D8B">
      <w:pPr>
        <w:rPr>
          <w:rtl/>
        </w:rPr>
      </w:pPr>
      <w:r w:rsidRPr="00C82D8B">
        <w:rPr>
          <w:rtl/>
        </w:rPr>
        <w:t xml:space="preserve">      1/ اختبارات الاستقلالية  </w:t>
      </w:r>
      <w:r w:rsidRPr="00C82D8B">
        <w:t xml:space="preserve">Independence Tests </w:t>
      </w:r>
      <w:r w:rsidRPr="00C82D8B">
        <w:rPr>
          <w:rtl/>
        </w:rPr>
        <w:t xml:space="preserve">  </w:t>
      </w:r>
    </w:p>
    <w:p w:rsidR="00C82D8B" w:rsidRPr="00C82D8B" w:rsidRDefault="00C82D8B" w:rsidP="00C82D8B">
      <w:pPr>
        <w:rPr>
          <w:rtl/>
        </w:rPr>
      </w:pPr>
      <w:r w:rsidRPr="00C82D8B">
        <w:rPr>
          <w:rtl/>
        </w:rPr>
        <w:t xml:space="preserve">      2/  اختبارات التجانس  </w:t>
      </w:r>
      <w:r w:rsidRPr="00C82D8B">
        <w:t xml:space="preserve">Homogeneity Tests </w:t>
      </w:r>
      <w:r w:rsidRPr="00C82D8B">
        <w:rPr>
          <w:rtl/>
        </w:rPr>
        <w:t xml:space="preserve"> </w:t>
      </w:r>
    </w:p>
    <w:p w:rsidR="00C82D8B" w:rsidRPr="00C82D8B" w:rsidRDefault="00C82D8B" w:rsidP="00C82D8B">
      <w:pPr>
        <w:rPr>
          <w:rtl/>
        </w:rPr>
      </w:pPr>
      <w:r w:rsidRPr="00C82D8B">
        <w:rPr>
          <w:rtl/>
        </w:rPr>
        <w:t xml:space="preserve">      3/ اختبارات حسن المطابقة  </w:t>
      </w:r>
      <w:r w:rsidRPr="00C82D8B">
        <w:t xml:space="preserve">Goodness-of-fit tests </w:t>
      </w:r>
    </w:p>
    <w:p w:rsidR="00C82D8B" w:rsidRDefault="00C82D8B" w:rsidP="00C82D8B">
      <w:pPr>
        <w:rPr>
          <w:rFonts w:hint="cs"/>
          <w:rtl/>
        </w:rPr>
      </w:pPr>
      <w:r w:rsidRPr="00C82D8B">
        <w:rPr>
          <w:rtl/>
        </w:rPr>
        <w:t xml:space="preserve">مثال: </w:t>
      </w:r>
      <w:r w:rsidRPr="00C82D8B">
        <w:rPr>
          <w:rtl/>
        </w:rPr>
        <w:br/>
        <w:t>ارسمي المدرج التكراري للتوزيع التكراري التالي:</w:t>
      </w:r>
    </w:p>
    <w:tbl>
      <w:tblPr>
        <w:bidiVisual/>
        <w:tblW w:w="3298" w:type="dxa"/>
        <w:tblCellMar>
          <w:left w:w="0" w:type="dxa"/>
          <w:right w:w="0" w:type="dxa"/>
        </w:tblCellMar>
        <w:tblLook w:val="04A0"/>
      </w:tblPr>
      <w:tblGrid>
        <w:gridCol w:w="2146"/>
        <w:gridCol w:w="1152"/>
      </w:tblGrid>
      <w:tr w:rsidR="00C82D8B" w:rsidRPr="00C82D8B" w:rsidTr="00C82D8B">
        <w:trPr>
          <w:trHeight w:val="403"/>
        </w:trPr>
        <w:tc>
          <w:tcPr>
            <w:tcW w:w="2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82D8B" w:rsidRDefault="00C82D8B" w:rsidP="00C82D8B">
            <w:r w:rsidRPr="00C82D8B">
              <w:rPr>
                <w:b/>
                <w:bCs/>
                <w:rtl/>
              </w:rPr>
              <w:t xml:space="preserve">الحدود الفعلية للفئة </w:t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82D8B" w:rsidRDefault="00C82D8B" w:rsidP="00C82D8B">
            <w:r w:rsidRPr="00C82D8B">
              <w:rPr>
                <w:b/>
                <w:bCs/>
                <w:rtl/>
              </w:rPr>
              <w:t xml:space="preserve">التكرار </w:t>
            </w:r>
          </w:p>
        </w:tc>
      </w:tr>
      <w:tr w:rsidR="00C82D8B" w:rsidRPr="00C82D8B" w:rsidTr="00C82D8B">
        <w:trPr>
          <w:trHeight w:val="403"/>
        </w:trPr>
        <w:tc>
          <w:tcPr>
            <w:tcW w:w="2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82D8B" w:rsidRDefault="00C82D8B" w:rsidP="00C82D8B">
            <w:r w:rsidRPr="00C82D8B">
              <w:rPr>
                <w:rtl/>
              </w:rPr>
              <w:t xml:space="preserve">41.5 _ 49.5 </w:t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82D8B" w:rsidRDefault="00C82D8B" w:rsidP="00C82D8B">
            <w:r w:rsidRPr="00C82D8B">
              <w:rPr>
                <w:rtl/>
              </w:rPr>
              <w:t xml:space="preserve">1 </w:t>
            </w:r>
          </w:p>
        </w:tc>
      </w:tr>
      <w:tr w:rsidR="00C82D8B" w:rsidRPr="00C82D8B" w:rsidTr="00C82D8B">
        <w:trPr>
          <w:trHeight w:val="403"/>
        </w:trPr>
        <w:tc>
          <w:tcPr>
            <w:tcW w:w="2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82D8B" w:rsidRDefault="00C82D8B" w:rsidP="00C82D8B">
            <w:r w:rsidRPr="00C82D8B">
              <w:rPr>
                <w:rtl/>
              </w:rPr>
              <w:t xml:space="preserve">49.5 _ 57.5 </w:t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82D8B" w:rsidRDefault="00C82D8B" w:rsidP="00C82D8B">
            <w:r w:rsidRPr="00C82D8B">
              <w:rPr>
                <w:rtl/>
              </w:rPr>
              <w:t xml:space="preserve">1 </w:t>
            </w:r>
          </w:p>
        </w:tc>
      </w:tr>
      <w:tr w:rsidR="00C82D8B" w:rsidRPr="00C82D8B" w:rsidTr="00C82D8B">
        <w:trPr>
          <w:trHeight w:val="403"/>
        </w:trPr>
        <w:tc>
          <w:tcPr>
            <w:tcW w:w="2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82D8B" w:rsidRDefault="00C82D8B" w:rsidP="00C82D8B">
            <w:r w:rsidRPr="00C82D8B">
              <w:rPr>
                <w:rtl/>
              </w:rPr>
              <w:t xml:space="preserve">57.5 _ 65.5 </w:t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82D8B" w:rsidRDefault="00C82D8B" w:rsidP="00C82D8B">
            <w:r w:rsidRPr="00C82D8B">
              <w:rPr>
                <w:rtl/>
              </w:rPr>
              <w:t xml:space="preserve">15 </w:t>
            </w:r>
          </w:p>
        </w:tc>
      </w:tr>
      <w:tr w:rsidR="00C82D8B" w:rsidRPr="00C82D8B" w:rsidTr="00C82D8B">
        <w:trPr>
          <w:trHeight w:val="403"/>
        </w:trPr>
        <w:tc>
          <w:tcPr>
            <w:tcW w:w="2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82D8B" w:rsidRDefault="00C82D8B" w:rsidP="00C82D8B">
            <w:r w:rsidRPr="00C82D8B">
              <w:rPr>
                <w:rtl/>
              </w:rPr>
              <w:t xml:space="preserve">65.5 _ 73.5 </w:t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82D8B" w:rsidRDefault="00C82D8B" w:rsidP="00C82D8B">
            <w:r w:rsidRPr="00C82D8B">
              <w:rPr>
                <w:rtl/>
              </w:rPr>
              <w:t xml:space="preserve">15 </w:t>
            </w:r>
          </w:p>
        </w:tc>
      </w:tr>
      <w:tr w:rsidR="00C82D8B" w:rsidRPr="00C82D8B" w:rsidTr="00C82D8B">
        <w:trPr>
          <w:trHeight w:val="403"/>
        </w:trPr>
        <w:tc>
          <w:tcPr>
            <w:tcW w:w="2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82D8B" w:rsidRDefault="00C82D8B" w:rsidP="00C82D8B">
            <w:r w:rsidRPr="00C82D8B">
              <w:rPr>
                <w:rtl/>
              </w:rPr>
              <w:t xml:space="preserve">73.5 _ 81.5 </w:t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82D8B" w:rsidRDefault="00C82D8B" w:rsidP="00C82D8B">
            <w:r w:rsidRPr="00C82D8B">
              <w:rPr>
                <w:rtl/>
              </w:rPr>
              <w:t xml:space="preserve">27 </w:t>
            </w:r>
          </w:p>
        </w:tc>
      </w:tr>
      <w:tr w:rsidR="00C82D8B" w:rsidRPr="00C82D8B" w:rsidTr="00C82D8B">
        <w:trPr>
          <w:trHeight w:val="403"/>
        </w:trPr>
        <w:tc>
          <w:tcPr>
            <w:tcW w:w="2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82D8B" w:rsidRDefault="00C82D8B" w:rsidP="00C82D8B">
            <w:r w:rsidRPr="00C82D8B">
              <w:rPr>
                <w:rtl/>
              </w:rPr>
              <w:t xml:space="preserve">81.5 _ 89.5 </w:t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82D8B" w:rsidRDefault="00C82D8B" w:rsidP="00C82D8B">
            <w:r w:rsidRPr="00C82D8B">
              <w:rPr>
                <w:rtl/>
              </w:rPr>
              <w:t xml:space="preserve">13 </w:t>
            </w:r>
          </w:p>
        </w:tc>
      </w:tr>
      <w:tr w:rsidR="00C82D8B" w:rsidRPr="00C82D8B" w:rsidTr="00C82D8B">
        <w:trPr>
          <w:trHeight w:val="403"/>
        </w:trPr>
        <w:tc>
          <w:tcPr>
            <w:tcW w:w="21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82D8B" w:rsidRDefault="00C82D8B" w:rsidP="00C82D8B">
            <w:r w:rsidRPr="00C82D8B">
              <w:rPr>
                <w:rtl/>
              </w:rPr>
              <w:t xml:space="preserve">89.5 _ 97.5 </w:t>
            </w:r>
          </w:p>
        </w:tc>
        <w:tc>
          <w:tcPr>
            <w:tcW w:w="11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0000" w:rsidRPr="00C82D8B" w:rsidRDefault="00C82D8B" w:rsidP="00C82D8B">
            <w:r w:rsidRPr="00C82D8B">
              <w:rPr>
                <w:rtl/>
              </w:rPr>
              <w:t xml:space="preserve">8 </w:t>
            </w:r>
          </w:p>
        </w:tc>
      </w:tr>
    </w:tbl>
    <w:p w:rsidR="00C82D8B" w:rsidRDefault="00C82D8B" w:rsidP="00C82D8B">
      <w:pPr>
        <w:tabs>
          <w:tab w:val="left" w:pos="1779"/>
        </w:tabs>
        <w:rPr>
          <w:rFonts w:hint="cs"/>
          <w:rtl/>
        </w:rPr>
      </w:pPr>
      <w:r>
        <w:rPr>
          <w:rtl/>
        </w:rPr>
        <w:tab/>
      </w:r>
    </w:p>
    <w:p w:rsidR="00C82D8B" w:rsidRDefault="00C82D8B" w:rsidP="00C82D8B">
      <w:pPr>
        <w:tabs>
          <w:tab w:val="left" w:pos="1779"/>
        </w:tabs>
        <w:rPr>
          <w:rFonts w:hint="cs"/>
          <w:rtl/>
        </w:rPr>
      </w:pPr>
      <w:r w:rsidRPr="00C82D8B">
        <w:rPr>
          <w:rtl/>
        </w:rPr>
        <w:lastRenderedPageBreak/>
        <w:t>المدرج التكراري</w:t>
      </w:r>
      <w:r>
        <w:rPr>
          <w:rFonts w:hint="cs"/>
          <w:rtl/>
        </w:rPr>
        <w:t>:</w:t>
      </w:r>
    </w:p>
    <w:p w:rsidR="00C82D8B" w:rsidRDefault="00C82D8B" w:rsidP="00C82D8B">
      <w:pPr>
        <w:tabs>
          <w:tab w:val="left" w:pos="1779"/>
        </w:tabs>
      </w:pPr>
      <w:r w:rsidRPr="00C82D8B">
        <w:rPr>
          <w:rtl/>
        </w:rPr>
        <w:drawing>
          <wp:inline distT="0" distB="0" distL="0" distR="0">
            <wp:extent cx="4035789" cy="2128604"/>
            <wp:effectExtent l="19050" t="0" r="21861" b="4996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C82D8B" w:rsidRDefault="00C82D8B" w:rsidP="00C82D8B">
      <w:pPr>
        <w:rPr>
          <w:rFonts w:hint="cs"/>
          <w:rtl/>
        </w:rPr>
      </w:pPr>
      <w:r w:rsidRPr="00C82D8B">
        <w:rPr>
          <w:rtl/>
        </w:rPr>
        <w:t>المضلع التكراري</w:t>
      </w:r>
      <w:r>
        <w:rPr>
          <w:rFonts w:hint="cs"/>
          <w:rtl/>
        </w:rPr>
        <w:t>:</w:t>
      </w:r>
    </w:p>
    <w:p w:rsidR="00C82D8B" w:rsidRDefault="00C82D8B" w:rsidP="00C82D8B">
      <w:r w:rsidRPr="00C82D8B">
        <w:rPr>
          <w:rtl/>
        </w:rPr>
        <w:drawing>
          <wp:inline distT="0" distB="0" distL="0" distR="0">
            <wp:extent cx="4403049" cy="2510853"/>
            <wp:effectExtent l="19050" t="0" r="0" b="0"/>
            <wp:docPr id="2" name="Object 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7499350" cy="4800600"/>
                      <a:chOff x="1435100" y="1447800"/>
                      <a:chExt cx="7499350" cy="4800600"/>
                    </a:xfrm>
                  </a:grpSpPr>
                  <a:graphicFrame>
                    <a:nvGraphicFramePr>
                      <a:cNvPr id="4" name="عنصر نائب للمحتوى 3"/>
                      <a:cNvGraphicFramePr>
                        <a:graphicFrameLocks noGrp="1"/>
                      </a:cNvGraphicFramePr>
                    </a:nvGraphicFramePr>
                    <a:graphic>
                      <a:graphicData uri="http://schemas.openxmlformats.org/drawingml/2006/chart">
                        <c:chart xmlns:c="http://schemas.openxmlformats.org/drawingml/2006/chart" xmlns:r="http://schemas.openxmlformats.org/officeDocument/2006/relationships" r:id="rId8"/>
                      </a:graphicData>
                    </a:graphic>
                    <a:xfrm>
                      <a:off x="1435100" y="1447800"/>
                      <a:ext cx="7499350" cy="4800600"/>
                    </a:xfrm>
                  </a:graphicFrame>
                  <a:cxnSp>
                    <a:nvCxnSpPr>
                      <a:cNvPr id="6" name="رابط مستقيم 5"/>
                      <a:cNvCxnSpPr/>
                    </a:nvCxnSpPr>
                    <a:spPr>
                      <a:xfrm>
                        <a:off x="7596336" y="4581128"/>
                        <a:ext cx="360040" cy="1080120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cxnSp>
                    <a:nvCxnSpPr>
                      <a:cNvPr id="10" name="رابط مستقيم 9"/>
                      <a:cNvCxnSpPr/>
                    </a:nvCxnSpPr>
                    <a:spPr>
                      <a:xfrm flipH="1">
                        <a:off x="2339752" y="5517232"/>
                        <a:ext cx="144016" cy="144016"/>
                      </a:xfrm>
                      <a:prstGeom prst="line">
                        <a:avLst/>
                      </a:prstGeom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</lc:lockedCanvas>
              </a:graphicData>
            </a:graphic>
          </wp:inline>
        </w:drawing>
      </w:r>
    </w:p>
    <w:p w:rsidR="00C82D8B" w:rsidRDefault="00C82D8B" w:rsidP="00C82D8B">
      <w:pPr>
        <w:ind w:firstLine="720"/>
        <w:rPr>
          <w:rFonts w:hint="cs"/>
          <w:rtl/>
        </w:rPr>
      </w:pPr>
      <w:r w:rsidRPr="00C82D8B">
        <w:rPr>
          <w:rtl/>
        </w:rPr>
        <w:t>المنحنى التكراري</w:t>
      </w:r>
      <w:r>
        <w:rPr>
          <w:rFonts w:hint="cs"/>
          <w:rtl/>
        </w:rPr>
        <w:t>:</w:t>
      </w:r>
    </w:p>
    <w:p w:rsidR="00C82D8B" w:rsidRPr="00C82D8B" w:rsidRDefault="00C82D8B" w:rsidP="00C82D8B">
      <w:pPr>
        <w:ind w:firstLine="720"/>
      </w:pPr>
      <w:r w:rsidRPr="00C82D8B">
        <w:rPr>
          <w:rtl/>
        </w:rPr>
        <w:drawing>
          <wp:inline distT="0" distB="0" distL="0" distR="0">
            <wp:extent cx="4470504" cy="2362096"/>
            <wp:effectExtent l="19050" t="0" r="25296" b="104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sectPr w:rsidR="00C82D8B" w:rsidRPr="00C82D8B" w:rsidSect="00C82D8B">
      <w:footerReference w:type="default" r:id="rId10"/>
      <w:pgSz w:w="11906" w:h="16838"/>
      <w:pgMar w:top="426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6EDF" w:rsidRDefault="00A56EDF" w:rsidP="00C82D8B">
      <w:pPr>
        <w:spacing w:after="0" w:line="240" w:lineRule="auto"/>
      </w:pPr>
      <w:r>
        <w:separator/>
      </w:r>
    </w:p>
  </w:endnote>
  <w:endnote w:type="continuationSeparator" w:id="0">
    <w:p w:rsidR="00A56EDF" w:rsidRDefault="00A56EDF" w:rsidP="00C82D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2D8B" w:rsidRDefault="00C82D8B">
    <w:pPr>
      <w:pStyle w:val="Footer"/>
    </w:pPr>
    <w:r>
      <w:rPr>
        <w:rFonts w:hint="cs"/>
        <w:rtl/>
      </w:rPr>
      <w:t>رايه11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6EDF" w:rsidRDefault="00A56EDF" w:rsidP="00C82D8B">
      <w:pPr>
        <w:spacing w:after="0" w:line="240" w:lineRule="auto"/>
      </w:pPr>
      <w:r>
        <w:separator/>
      </w:r>
    </w:p>
  </w:footnote>
  <w:footnote w:type="continuationSeparator" w:id="0">
    <w:p w:rsidR="00A56EDF" w:rsidRDefault="00A56EDF" w:rsidP="00C82D8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2F2A6B"/>
    <w:multiLevelType w:val="hybridMultilevel"/>
    <w:tmpl w:val="F89AEE44"/>
    <w:lvl w:ilvl="0" w:tplc="31AE3FBA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2F62F42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8E430C0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F86448C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0408482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FD823B2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74C6A4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2F6ADD0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2D0D8A8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3D06328"/>
    <w:multiLevelType w:val="hybridMultilevel"/>
    <w:tmpl w:val="6FCC4F38"/>
    <w:lvl w:ilvl="0" w:tplc="8AD0EF8E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65C2F7C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2D45C58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FC045D2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32A84BE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C66119C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1E0A236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C00193C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50AEC52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7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82D8B"/>
    <w:rsid w:val="001B5146"/>
    <w:rsid w:val="0077517C"/>
    <w:rsid w:val="00A56EDF"/>
    <w:rsid w:val="00C82D8B"/>
    <w:rsid w:val="00E5108F"/>
    <w:rsid w:val="00F446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17C"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82D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2D8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C82D8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82D8B"/>
  </w:style>
  <w:style w:type="paragraph" w:styleId="Footer">
    <w:name w:val="footer"/>
    <w:basedOn w:val="Normal"/>
    <w:link w:val="FooterChar"/>
    <w:uiPriority w:val="99"/>
    <w:semiHidden/>
    <w:unhideWhenUsed/>
    <w:rsid w:val="00C82D8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82D8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960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61139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24885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44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0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rAM\Documents\Book1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rAM\Documents\Book1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ArAM\Documents\Book1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ar-SA"/>
  <c:chart>
    <c:autoTitleDeleted val="1"/>
    <c:plotArea>
      <c:layout>
        <c:manualLayout>
          <c:layoutTarget val="inner"/>
          <c:xMode val="edge"/>
          <c:yMode val="edge"/>
          <c:x val="5.2710968283917983E-2"/>
          <c:y val="2.9100529100529089E-2"/>
          <c:w val="0.92866075059838604"/>
          <c:h val="0.86365954255718191"/>
        </c:manualLayout>
      </c:layout>
      <c:barChart>
        <c:barDir val="col"/>
        <c:grouping val="clustered"/>
        <c:ser>
          <c:idx val="0"/>
          <c:order val="0"/>
          <c:tx>
            <c:strRef>
              <c:f>ورقة1!$C$1</c:f>
              <c:strCache>
                <c:ptCount val="1"/>
                <c:pt idx="0">
                  <c:v>التكرار </c:v>
                </c:pt>
              </c:strCache>
            </c:strRef>
          </c:tx>
          <c:spPr>
            <a:ln>
              <a:gradFill>
                <a:gsLst>
                  <a:gs pos="0">
                    <a:srgbClr val="C00000"/>
                  </a:gs>
                  <a:gs pos="50000">
                    <a:srgbClr val="3891A7">
                      <a:tint val="44500"/>
                      <a:satMod val="160000"/>
                    </a:srgbClr>
                  </a:gs>
                  <a:gs pos="100000">
                    <a:srgbClr val="3891A7">
                      <a:tint val="23500"/>
                      <a:satMod val="160000"/>
                    </a:srgbClr>
                  </a:gs>
                </a:gsLst>
                <a:lin ang="5400000" scaled="0"/>
              </a:gradFill>
            </a:ln>
          </c:spPr>
          <c:cat>
            <c:numRef>
              <c:f>ورقة1!$B$2:$B$8</c:f>
              <c:numCache>
                <c:formatCode>General</c:formatCode>
                <c:ptCount val="7"/>
                <c:pt idx="0">
                  <c:v>41.5</c:v>
                </c:pt>
                <c:pt idx="1">
                  <c:v>49.5</c:v>
                </c:pt>
                <c:pt idx="2">
                  <c:v>57.5</c:v>
                </c:pt>
                <c:pt idx="3">
                  <c:v>65.5</c:v>
                </c:pt>
                <c:pt idx="4">
                  <c:v>73.5</c:v>
                </c:pt>
                <c:pt idx="5">
                  <c:v>81.5</c:v>
                </c:pt>
                <c:pt idx="6">
                  <c:v>89.5</c:v>
                </c:pt>
              </c:numCache>
            </c:numRef>
          </c:cat>
          <c:val>
            <c:numRef>
              <c:f>ورقة1!$C$2:$C$8</c:f>
              <c:numCache>
                <c:formatCode>General</c:formatCode>
                <c:ptCount val="7"/>
                <c:pt idx="0">
                  <c:v>1</c:v>
                </c:pt>
                <c:pt idx="1">
                  <c:v>1</c:v>
                </c:pt>
                <c:pt idx="2">
                  <c:v>15</c:v>
                </c:pt>
                <c:pt idx="3">
                  <c:v>15</c:v>
                </c:pt>
                <c:pt idx="4">
                  <c:v>27</c:v>
                </c:pt>
                <c:pt idx="5">
                  <c:v>13</c:v>
                </c:pt>
                <c:pt idx="6">
                  <c:v>8</c:v>
                </c:pt>
              </c:numCache>
            </c:numRef>
          </c:val>
        </c:ser>
        <c:gapWidth val="0"/>
        <c:axId val="81674240"/>
        <c:axId val="81676160"/>
      </c:barChart>
      <c:catAx>
        <c:axId val="81674240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ar-SA"/>
                  <a:t>الحدود الفعلية للفئات</a:t>
                </a:r>
              </a:p>
            </c:rich>
          </c:tx>
        </c:title>
        <c:numFmt formatCode="General" sourceLinked="1"/>
        <c:majorTickMark val="none"/>
        <c:tickLblPos val="nextTo"/>
        <c:crossAx val="81676160"/>
        <c:crosses val="autoZero"/>
        <c:auto val="1"/>
        <c:lblAlgn val="ctr"/>
        <c:lblOffset val="100"/>
      </c:catAx>
      <c:valAx>
        <c:axId val="81676160"/>
        <c:scaling>
          <c:orientation val="minMax"/>
        </c:scaling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ar-SA"/>
                  <a:t>التكرار</a:t>
                </a:r>
              </a:p>
            </c:rich>
          </c:tx>
        </c:title>
        <c:numFmt formatCode="General" sourceLinked="1"/>
        <c:tickLblPos val="nextTo"/>
        <c:crossAx val="81674240"/>
        <c:crosses val="autoZero"/>
        <c:crossBetween val="between"/>
      </c:valAx>
    </c:plotArea>
    <c:plotVisOnly val="1"/>
    <c:dispBlanksAs val="gap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ar-SA"/>
  <c:chart>
    <c:autoTitleDeleted val="1"/>
    <c:plotArea>
      <c:layout/>
      <c:lineChart>
        <c:grouping val="standard"/>
        <c:ser>
          <c:idx val="0"/>
          <c:order val="0"/>
          <c:tx>
            <c:strRef>
              <c:f>ورقة1!$D$1</c:f>
              <c:strCache>
                <c:ptCount val="1"/>
                <c:pt idx="0">
                  <c:v>التكرار </c:v>
                </c:pt>
              </c:strCache>
            </c:strRef>
          </c:tx>
          <c:marker>
            <c:symbol val="none"/>
          </c:marker>
          <c:cat>
            <c:numRef>
              <c:f>ورقة1!$C$2:$C$8</c:f>
              <c:numCache>
                <c:formatCode>General</c:formatCode>
                <c:ptCount val="7"/>
                <c:pt idx="0">
                  <c:v>45.5</c:v>
                </c:pt>
                <c:pt idx="1">
                  <c:v>53.5</c:v>
                </c:pt>
                <c:pt idx="2">
                  <c:v>61.5</c:v>
                </c:pt>
                <c:pt idx="3">
                  <c:v>69.5</c:v>
                </c:pt>
                <c:pt idx="4">
                  <c:v>77.5</c:v>
                </c:pt>
                <c:pt idx="5">
                  <c:v>85.5</c:v>
                </c:pt>
                <c:pt idx="6">
                  <c:v>93.5</c:v>
                </c:pt>
              </c:numCache>
            </c:numRef>
          </c:cat>
          <c:val>
            <c:numRef>
              <c:f>ورقة1!$D$2:$D$8</c:f>
              <c:numCache>
                <c:formatCode>General</c:formatCode>
                <c:ptCount val="7"/>
                <c:pt idx="0">
                  <c:v>1</c:v>
                </c:pt>
                <c:pt idx="1">
                  <c:v>1</c:v>
                </c:pt>
                <c:pt idx="2">
                  <c:v>15</c:v>
                </c:pt>
                <c:pt idx="3">
                  <c:v>15</c:v>
                </c:pt>
                <c:pt idx="4">
                  <c:v>27</c:v>
                </c:pt>
                <c:pt idx="5">
                  <c:v>13</c:v>
                </c:pt>
                <c:pt idx="6">
                  <c:v>8</c:v>
                </c:pt>
              </c:numCache>
            </c:numRef>
          </c:val>
        </c:ser>
        <c:hiLowLines/>
        <c:marker val="1"/>
        <c:axId val="89533824"/>
        <c:axId val="91163648"/>
      </c:lineChart>
      <c:catAx>
        <c:axId val="89533824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ar-SA" dirty="0" smtClean="0"/>
                  <a:t>مراكز الفئات</a:t>
                </a:r>
                <a:endParaRPr lang="ar-SA" dirty="0"/>
              </a:p>
            </c:rich>
          </c:tx>
        </c:title>
        <c:numFmt formatCode="General" sourceLinked="1"/>
        <c:majorTickMark val="none"/>
        <c:tickLblPos val="nextTo"/>
        <c:crossAx val="91163648"/>
        <c:crosses val="autoZero"/>
        <c:auto val="1"/>
        <c:lblAlgn val="ctr"/>
        <c:lblOffset val="100"/>
      </c:catAx>
      <c:valAx>
        <c:axId val="91163648"/>
        <c:scaling>
          <c:orientation val="minMax"/>
        </c:scaling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ar-SA" dirty="0" smtClean="0"/>
                  <a:t>التكرار</a:t>
                </a:r>
                <a:endParaRPr lang="ar-SA" dirty="0"/>
              </a:p>
            </c:rich>
          </c:tx>
        </c:title>
        <c:numFmt formatCode="General" sourceLinked="1"/>
        <c:tickLblPos val="nextTo"/>
        <c:crossAx val="89533824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ar-SA"/>
  <c:chart>
    <c:autoTitleDeleted val="1"/>
    <c:plotArea>
      <c:layout/>
      <c:lineChart>
        <c:grouping val="standard"/>
        <c:ser>
          <c:idx val="0"/>
          <c:order val="0"/>
          <c:tx>
            <c:strRef>
              <c:f>ورقة1!$D$1</c:f>
              <c:strCache>
                <c:ptCount val="1"/>
                <c:pt idx="0">
                  <c:v>التكرار </c:v>
                </c:pt>
              </c:strCache>
            </c:strRef>
          </c:tx>
          <c:marker>
            <c:symbol val="none"/>
          </c:marker>
          <c:cat>
            <c:numRef>
              <c:f>ورقة1!$C$2:$C$8</c:f>
              <c:numCache>
                <c:formatCode>General</c:formatCode>
                <c:ptCount val="7"/>
                <c:pt idx="0">
                  <c:v>45.5</c:v>
                </c:pt>
                <c:pt idx="1">
                  <c:v>53.5</c:v>
                </c:pt>
                <c:pt idx="2">
                  <c:v>61.5</c:v>
                </c:pt>
                <c:pt idx="3">
                  <c:v>69.5</c:v>
                </c:pt>
                <c:pt idx="4">
                  <c:v>77.5</c:v>
                </c:pt>
                <c:pt idx="5">
                  <c:v>85.5</c:v>
                </c:pt>
                <c:pt idx="6">
                  <c:v>93.5</c:v>
                </c:pt>
              </c:numCache>
            </c:numRef>
          </c:cat>
          <c:val>
            <c:numRef>
              <c:f>ورقة1!$D$2:$D$8</c:f>
              <c:numCache>
                <c:formatCode>General</c:formatCode>
                <c:ptCount val="7"/>
                <c:pt idx="0">
                  <c:v>1</c:v>
                </c:pt>
                <c:pt idx="1">
                  <c:v>1</c:v>
                </c:pt>
                <c:pt idx="2">
                  <c:v>15</c:v>
                </c:pt>
                <c:pt idx="3">
                  <c:v>15</c:v>
                </c:pt>
                <c:pt idx="4">
                  <c:v>27</c:v>
                </c:pt>
                <c:pt idx="5">
                  <c:v>13</c:v>
                </c:pt>
                <c:pt idx="6">
                  <c:v>8</c:v>
                </c:pt>
              </c:numCache>
            </c:numRef>
          </c:val>
        </c:ser>
        <c:hiLowLines/>
        <c:marker val="1"/>
        <c:axId val="91201920"/>
        <c:axId val="91204608"/>
      </c:lineChart>
      <c:catAx>
        <c:axId val="91201920"/>
        <c:scaling>
          <c:orientation val="minMax"/>
        </c:scaling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ar-SA" dirty="0" smtClean="0"/>
                  <a:t>مراكز الفئات</a:t>
                </a:r>
                <a:endParaRPr lang="ar-SA" dirty="0"/>
              </a:p>
            </c:rich>
          </c:tx>
        </c:title>
        <c:numFmt formatCode="General" sourceLinked="1"/>
        <c:majorTickMark val="none"/>
        <c:tickLblPos val="nextTo"/>
        <c:crossAx val="91204608"/>
        <c:crosses val="autoZero"/>
        <c:auto val="1"/>
        <c:lblAlgn val="ctr"/>
        <c:lblOffset val="100"/>
      </c:catAx>
      <c:valAx>
        <c:axId val="91204608"/>
        <c:scaling>
          <c:orientation val="minMax"/>
        </c:scaling>
        <c:axPos val="l"/>
        <c:title>
          <c:tx>
            <c:rich>
              <a:bodyPr/>
              <a:lstStyle/>
              <a:p>
                <a:pPr>
                  <a:defRPr/>
                </a:pPr>
                <a:r>
                  <a:rPr lang="ar-SA" dirty="0" smtClean="0"/>
                  <a:t>التكرار</a:t>
                </a:r>
                <a:endParaRPr lang="ar-SA" dirty="0"/>
              </a:p>
            </c:rich>
          </c:tx>
        </c:title>
        <c:numFmt formatCode="General" sourceLinked="1"/>
        <c:tickLblPos val="nextTo"/>
        <c:crossAx val="91201920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247</Words>
  <Characters>1408</Characters>
  <Application>Microsoft Office Word</Application>
  <DocSecurity>0</DocSecurity>
  <Lines>11</Lines>
  <Paragraphs>3</Paragraphs>
  <ScaleCrop>false</ScaleCrop>
  <Company>Al Manzah tel 8277968</Company>
  <LinksUpToDate>false</LinksUpToDate>
  <CharactersWithSpaces>1652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2013-05-03T00:29:00Z</dcterms:created>
  <dcterms:modified xsi:type="dcterms:W3CDTF">2013-05-03T00:34:00Z</dcterms:modified>
</cp:coreProperties>
</file>