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right" w:tblpY="915"/>
        <w:bidiVisual/>
        <w:tblW w:w="150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1"/>
        <w:gridCol w:w="478"/>
        <w:gridCol w:w="478"/>
        <w:gridCol w:w="478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83"/>
        <w:gridCol w:w="479"/>
        <w:gridCol w:w="479"/>
        <w:gridCol w:w="503"/>
        <w:gridCol w:w="540"/>
        <w:gridCol w:w="540"/>
        <w:gridCol w:w="540"/>
        <w:gridCol w:w="1440"/>
      </w:tblGrid>
      <w:tr w:rsidR="00FD1A15" w:rsidRPr="009F206E" w:rsidTr="00231DD0">
        <w:trPr>
          <w:trHeight w:val="421"/>
        </w:trPr>
        <w:tc>
          <w:tcPr>
            <w:tcW w:w="331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vAlign w:val="center"/>
          </w:tcPr>
          <w:p w:rsidR="00FD1A15" w:rsidRPr="00A71733" w:rsidRDefault="00FD1A15" w:rsidP="00FD1A15">
            <w:pPr>
              <w:jc w:val="center"/>
              <w:rPr>
                <w:rFonts w:ascii="Andalus" w:hAnsi="Andalus" w:cs="AL-Majd"/>
                <w:b/>
                <w:bCs/>
                <w:sz w:val="32"/>
                <w:szCs w:val="32"/>
                <w:rtl/>
              </w:rPr>
            </w:pPr>
            <w:r w:rsidRPr="00A71733">
              <w:rPr>
                <w:rFonts w:ascii="Andalus" w:hAnsi="Andalus" w:cs="AL-Majd"/>
                <w:b/>
                <w:bCs/>
                <w:sz w:val="32"/>
                <w:szCs w:val="32"/>
                <w:rtl/>
              </w:rPr>
              <w:t>المــادة</w:t>
            </w:r>
          </w:p>
        </w:tc>
        <w:tc>
          <w:tcPr>
            <w:tcW w:w="7183" w:type="dxa"/>
            <w:gridSpan w:val="15"/>
            <w:tcBorders>
              <w:top w:val="single" w:sz="4" w:space="0" w:color="000000" w:themeColor="text1"/>
            </w:tcBorders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vAlign w:val="center"/>
          </w:tcPr>
          <w:p w:rsidR="00FD1A15" w:rsidRPr="00A71733" w:rsidRDefault="00FD1A15" w:rsidP="00CE65FC">
            <w:pPr>
              <w:jc w:val="center"/>
              <w:rPr>
                <w:rFonts w:ascii="Andalus" w:hAnsi="Andalus" w:cs="AL-Majd"/>
                <w:b/>
                <w:bCs/>
                <w:sz w:val="32"/>
                <w:szCs w:val="32"/>
                <w:rtl/>
              </w:rPr>
            </w:pPr>
            <w:r w:rsidRPr="00A71733">
              <w:rPr>
                <w:rFonts w:ascii="Andalus" w:hAnsi="Andalus" w:cs="AL-Majd"/>
                <w:b/>
                <w:bCs/>
                <w:sz w:val="32"/>
                <w:szCs w:val="32"/>
                <w:rtl/>
              </w:rPr>
              <w:t>المتــابعـــة</w:t>
            </w:r>
            <w:r w:rsidR="00CE65FC" w:rsidRPr="00A71733">
              <w:rPr>
                <w:rFonts w:ascii="Andalus" w:hAnsi="Andalus" w:cs="AL-Majd"/>
              </w:rPr>
              <w:t xml:space="preserve"> </w:t>
            </w:r>
          </w:p>
        </w:tc>
        <w:tc>
          <w:tcPr>
            <w:tcW w:w="1461" w:type="dxa"/>
            <w:gridSpan w:val="3"/>
            <w:tcBorders>
              <w:top w:val="single" w:sz="4" w:space="0" w:color="000000" w:themeColor="text1"/>
              <w:left w:val="single" w:sz="4" w:space="0" w:color="auto"/>
            </w:tcBorders>
            <w:shd w:val="clear" w:color="auto" w:fill="C4BC96" w:themeFill="background2" w:themeFillShade="BF"/>
            <w:vAlign w:val="center"/>
          </w:tcPr>
          <w:p w:rsidR="00FD1A15" w:rsidRPr="00A71733" w:rsidRDefault="00CE65FC" w:rsidP="00FD1A15">
            <w:pPr>
              <w:jc w:val="center"/>
              <w:rPr>
                <w:rFonts w:ascii="Andalus" w:hAnsi="Andalus" w:cs="AL-Majd"/>
                <w:b/>
                <w:bCs/>
                <w:sz w:val="32"/>
                <w:szCs w:val="32"/>
                <w:rtl/>
              </w:rPr>
            </w:pPr>
            <w:r w:rsidRPr="00A71733">
              <w:rPr>
                <w:rFonts w:ascii="Andalus" w:hAnsi="Andalus" w:cs="AL-Majd"/>
                <w:b/>
                <w:bCs/>
                <w:sz w:val="32"/>
                <w:szCs w:val="32"/>
                <w:rtl/>
              </w:rPr>
              <w:t>البث المباشر</w:t>
            </w:r>
          </w:p>
        </w:tc>
        <w:tc>
          <w:tcPr>
            <w:tcW w:w="1620" w:type="dxa"/>
            <w:gridSpan w:val="3"/>
            <w:tcBorders>
              <w:top w:val="single" w:sz="4" w:space="0" w:color="000000" w:themeColor="text1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FD1A15" w:rsidRPr="00A71733" w:rsidRDefault="00CE65FC" w:rsidP="00FD1A15">
            <w:pPr>
              <w:jc w:val="center"/>
              <w:rPr>
                <w:rFonts w:ascii="Andalus" w:hAnsi="Andalus" w:cs="AL-Majd"/>
                <w:b/>
                <w:bCs/>
                <w:sz w:val="32"/>
                <w:szCs w:val="32"/>
                <w:rtl/>
              </w:rPr>
            </w:pPr>
            <w:r w:rsidRPr="00A71733">
              <w:rPr>
                <w:rFonts w:ascii="Andalus" w:hAnsi="Andalus" w:cs="AL-Majd"/>
                <w:b/>
                <w:bCs/>
                <w:sz w:val="32"/>
                <w:szCs w:val="32"/>
                <w:rtl/>
              </w:rPr>
              <w:t>الواجبات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FD1A15" w:rsidRPr="00A71733" w:rsidRDefault="00FD1A15" w:rsidP="00FD1A15">
            <w:pPr>
              <w:jc w:val="center"/>
              <w:rPr>
                <w:rFonts w:ascii="Andalus" w:hAnsi="Andalus" w:cs="AL-Majd"/>
                <w:b/>
                <w:bCs/>
                <w:sz w:val="28"/>
                <w:szCs w:val="28"/>
              </w:rPr>
            </w:pPr>
            <w:r w:rsidRPr="00A71733">
              <w:rPr>
                <w:rFonts w:ascii="Andalus" w:hAnsi="Andalus" w:cs="AL-Majd"/>
                <w:b/>
                <w:bCs/>
                <w:sz w:val="28"/>
                <w:szCs w:val="28"/>
                <w:rtl/>
              </w:rPr>
              <w:t>الاختبار الفصلي</w:t>
            </w: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 w:val="restart"/>
            <w:shd w:val="clear" w:color="auto" w:fill="F2F2F2" w:themeFill="background1" w:themeFillShade="F2"/>
            <w:tcMar>
              <w:left w:w="0" w:type="dxa"/>
              <w:right w:w="0" w:type="dxa"/>
            </w:tcMar>
            <w:vAlign w:val="center"/>
          </w:tcPr>
          <w:p w:rsidR="00FD1A15" w:rsidRPr="00CE65FC" w:rsidRDefault="00AA501B" w:rsidP="006C3F92">
            <w:pPr>
              <w:jc w:val="center"/>
              <w:rPr>
                <w:rFonts w:ascii="Andalus" w:hAnsi="Andalus" w:cs="Andalus" w:hint="cs"/>
                <w:sz w:val="36"/>
                <w:szCs w:val="36"/>
                <w:rtl/>
              </w:rPr>
            </w:pPr>
            <w:r>
              <w:rPr>
                <w:rFonts w:ascii="Andalus" w:hAnsi="Andalus" w:cs="Andalus" w:hint="cs"/>
                <w:sz w:val="36"/>
                <w:szCs w:val="36"/>
                <w:rtl/>
              </w:rPr>
              <w:t>السلوك التنظيمي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4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5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6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7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8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9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10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11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12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13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14</w:t>
            </w:r>
          </w:p>
        </w:tc>
        <w:tc>
          <w:tcPr>
            <w:tcW w:w="483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15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03" w:type="dxa"/>
            <w:tcBorders>
              <w:right w:val="single" w:sz="4" w:space="0" w:color="auto"/>
            </w:tcBorders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CE65FC">
            <w:pPr>
              <w:spacing w:line="276" w:lineRule="auto"/>
              <w:jc w:val="lowKashida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FD1A15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 w:val="restart"/>
            <w:tcBorders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tcBorders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FD1A15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 w:val="restart"/>
            <w:shd w:val="clear" w:color="auto" w:fill="D9D9D9" w:themeFill="background1" w:themeFillShade="D9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AA501B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>
              <w:rPr>
                <w:rFonts w:ascii="Andalus" w:hAnsi="Andalus" w:cs="Andalus" w:hint="cs"/>
                <w:sz w:val="36"/>
                <w:szCs w:val="36"/>
                <w:rtl/>
              </w:rPr>
              <w:t>الإدارة الاستراتيجية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4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5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6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7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8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9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10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11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12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13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14</w:t>
            </w:r>
          </w:p>
        </w:tc>
        <w:tc>
          <w:tcPr>
            <w:tcW w:w="483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15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03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2D676C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2D676C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shd w:val="clear" w:color="auto" w:fill="D9D9D9" w:themeFill="background1" w:themeFillShade="D9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FD1A15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tcBorders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FD1A15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 w:val="restart"/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AA501B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>
              <w:rPr>
                <w:rFonts w:ascii="Andalus" w:hAnsi="Andalus" w:cs="Andalus" w:hint="cs"/>
                <w:sz w:val="36"/>
                <w:szCs w:val="36"/>
                <w:rtl/>
              </w:rPr>
              <w:t>ادارة التفاوض وحل النزاعات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4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5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6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7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8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9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10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11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12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13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14</w:t>
            </w:r>
          </w:p>
        </w:tc>
        <w:tc>
          <w:tcPr>
            <w:tcW w:w="483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15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03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FD1A15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tcBorders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FD1A15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1A6D55" w:rsidTr="00CE65FC">
        <w:trPr>
          <w:trHeight w:val="350"/>
        </w:trPr>
        <w:tc>
          <w:tcPr>
            <w:tcW w:w="3311" w:type="dxa"/>
            <w:vMerge w:val="restart"/>
            <w:shd w:val="clear" w:color="auto" w:fill="D9D9D9" w:themeFill="background1" w:themeFillShade="D9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AA501B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>
              <w:rPr>
                <w:rFonts w:ascii="Andalus" w:hAnsi="Andalus" w:cs="Andalus" w:hint="cs"/>
                <w:sz w:val="36"/>
                <w:szCs w:val="36"/>
                <w:rtl/>
              </w:rPr>
              <w:t>نظم المعلومات الإدارية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4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5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6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7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8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9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10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11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12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13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14</w:t>
            </w:r>
          </w:p>
        </w:tc>
        <w:tc>
          <w:tcPr>
            <w:tcW w:w="483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15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03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1A6D55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shd w:val="clear" w:color="auto" w:fill="D9D9D9" w:themeFill="background1" w:themeFillShade="D9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FD1A15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tcBorders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FD1A15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 w:val="restart"/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AA501B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>
              <w:rPr>
                <w:rFonts w:ascii="Andalus" w:hAnsi="Andalus" w:cs="Andalus" w:hint="cs"/>
                <w:sz w:val="36"/>
                <w:szCs w:val="36"/>
                <w:rtl/>
              </w:rPr>
              <w:t>ادارة سلسلة الأمداد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4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5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6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7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8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9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10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11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12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13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14</w:t>
            </w:r>
          </w:p>
        </w:tc>
        <w:tc>
          <w:tcPr>
            <w:tcW w:w="483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15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03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FD1A15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tcBorders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FD1A15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E6695C" w:rsidTr="00CE65FC">
        <w:trPr>
          <w:trHeight w:val="350"/>
        </w:trPr>
        <w:tc>
          <w:tcPr>
            <w:tcW w:w="3311" w:type="dxa"/>
            <w:vMerge w:val="restart"/>
            <w:shd w:val="clear" w:color="auto" w:fill="D9D9D9" w:themeFill="background1" w:themeFillShade="D9"/>
            <w:noWrap/>
            <w:tcMar>
              <w:left w:w="0" w:type="dxa"/>
              <w:right w:w="0" w:type="dxa"/>
            </w:tcMar>
            <w:vAlign w:val="center"/>
          </w:tcPr>
          <w:p w:rsidR="00FD1A15" w:rsidRPr="00CE65FC" w:rsidRDefault="00AA501B" w:rsidP="00FD1A15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>
              <w:rPr>
                <w:rFonts w:ascii="Andalus" w:hAnsi="Andalus" w:cs="Andalus" w:hint="cs"/>
                <w:sz w:val="36"/>
                <w:szCs w:val="36"/>
                <w:rtl/>
              </w:rPr>
              <w:t>مدخل محاسبة ادارية</w:t>
            </w:r>
            <w:bookmarkStart w:id="0" w:name="_GoBack"/>
            <w:bookmarkEnd w:id="0"/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4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5</w:t>
            </w:r>
          </w:p>
        </w:tc>
        <w:tc>
          <w:tcPr>
            <w:tcW w:w="478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6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7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8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9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10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11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12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13</w:t>
            </w:r>
          </w:p>
        </w:tc>
        <w:tc>
          <w:tcPr>
            <w:tcW w:w="479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14</w:t>
            </w:r>
          </w:p>
        </w:tc>
        <w:tc>
          <w:tcPr>
            <w:tcW w:w="483" w:type="dxa"/>
            <w:shd w:val="clear" w:color="auto" w:fill="FABF8F" w:themeFill="accent6" w:themeFillTint="99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>
              <w:rPr>
                <w:rFonts w:cs="Andalus" w:hint="cs"/>
                <w:b/>
                <w:bCs/>
                <w:sz w:val="18"/>
                <w:szCs w:val="18"/>
                <w:rtl/>
              </w:rPr>
              <w:t>15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479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03" w:type="dxa"/>
            <w:shd w:val="clear" w:color="auto" w:fill="DDD9C3" w:themeFill="background2" w:themeFillShade="E6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540" w:type="dxa"/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0" w:type="dxa"/>
              <w:right w:w="0" w:type="dxa"/>
            </w:tcMar>
            <w:vAlign w:val="center"/>
          </w:tcPr>
          <w:p w:rsidR="00FD1A15" w:rsidRPr="001A6D55" w:rsidRDefault="00FD1A15" w:rsidP="00FD1A15">
            <w:pPr>
              <w:jc w:val="center"/>
              <w:rPr>
                <w:rFonts w:cs="Andalus"/>
                <w:b/>
                <w:bCs/>
                <w:sz w:val="18"/>
                <w:szCs w:val="18"/>
                <w:rtl/>
              </w:rPr>
            </w:pPr>
            <w:r w:rsidRPr="001A6D55">
              <w:rPr>
                <w:rFonts w:cs="Andalus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E6695C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shd w:val="clear" w:color="auto" w:fill="D9D9D9" w:themeFill="background1" w:themeFillShade="D9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 w:val="restart"/>
            <w:tcBorders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  <w:tr w:rsidR="00FD1A15" w:rsidRPr="009F206E" w:rsidTr="00CE65FC">
        <w:trPr>
          <w:trHeight w:val="350"/>
        </w:trPr>
        <w:tc>
          <w:tcPr>
            <w:tcW w:w="3311" w:type="dxa"/>
            <w:vMerge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8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83" w:type="dxa"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479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03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FD1A15" w:rsidRPr="00E6695C" w:rsidRDefault="00FD1A15" w:rsidP="00FD1A15">
            <w:pPr>
              <w:jc w:val="center"/>
              <w:rPr>
                <w:rFonts w:cs="Andalus"/>
                <w:b/>
                <w:bCs/>
                <w:sz w:val="10"/>
                <w:szCs w:val="10"/>
                <w:rtl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D1A15" w:rsidRPr="009F206E" w:rsidRDefault="00FD1A15" w:rsidP="00FD1A15">
            <w:pPr>
              <w:jc w:val="center"/>
            </w:pPr>
          </w:p>
        </w:tc>
      </w:tr>
    </w:tbl>
    <w:p w:rsidR="008F60DA" w:rsidRDefault="008F60DA" w:rsidP="001D1B2D">
      <w:pPr>
        <w:jc w:val="center"/>
        <w:rPr>
          <w:rtl/>
        </w:rPr>
      </w:pPr>
    </w:p>
    <w:sectPr w:rsidR="008F60DA" w:rsidSect="002627F4">
      <w:pgSz w:w="16838" w:h="11906" w:orient="landscape"/>
      <w:pgMar w:top="284" w:right="536" w:bottom="142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aj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3C5"/>
    <w:rsid w:val="00016CB8"/>
    <w:rsid w:val="00066BFA"/>
    <w:rsid w:val="00095DBC"/>
    <w:rsid w:val="000F6D62"/>
    <w:rsid w:val="00164949"/>
    <w:rsid w:val="001A6D55"/>
    <w:rsid w:val="001D1B2D"/>
    <w:rsid w:val="00231DD0"/>
    <w:rsid w:val="00240FF8"/>
    <w:rsid w:val="002627F4"/>
    <w:rsid w:val="00266FE3"/>
    <w:rsid w:val="00295A7A"/>
    <w:rsid w:val="002B1D05"/>
    <w:rsid w:val="002D676C"/>
    <w:rsid w:val="002F5A94"/>
    <w:rsid w:val="00376117"/>
    <w:rsid w:val="00431787"/>
    <w:rsid w:val="00481B1E"/>
    <w:rsid w:val="00487EBD"/>
    <w:rsid w:val="00497E34"/>
    <w:rsid w:val="00546C70"/>
    <w:rsid w:val="005540C2"/>
    <w:rsid w:val="005A0E42"/>
    <w:rsid w:val="005B1489"/>
    <w:rsid w:val="005D31F8"/>
    <w:rsid w:val="005D7922"/>
    <w:rsid w:val="006B6A97"/>
    <w:rsid w:val="006C3F92"/>
    <w:rsid w:val="0071486B"/>
    <w:rsid w:val="00767BCD"/>
    <w:rsid w:val="007A7AA7"/>
    <w:rsid w:val="008007F0"/>
    <w:rsid w:val="008D57A5"/>
    <w:rsid w:val="008F60DA"/>
    <w:rsid w:val="009168F0"/>
    <w:rsid w:val="0093361E"/>
    <w:rsid w:val="00945BF8"/>
    <w:rsid w:val="00970C35"/>
    <w:rsid w:val="009F206E"/>
    <w:rsid w:val="00A66348"/>
    <w:rsid w:val="00A71733"/>
    <w:rsid w:val="00AA501B"/>
    <w:rsid w:val="00AD6B2E"/>
    <w:rsid w:val="00AF170C"/>
    <w:rsid w:val="00CC5286"/>
    <w:rsid w:val="00CE65FC"/>
    <w:rsid w:val="00CF5A35"/>
    <w:rsid w:val="00D623C5"/>
    <w:rsid w:val="00DF0FEF"/>
    <w:rsid w:val="00E11DE3"/>
    <w:rsid w:val="00E54701"/>
    <w:rsid w:val="00E6695C"/>
    <w:rsid w:val="00ED3F0D"/>
    <w:rsid w:val="00F27CCE"/>
    <w:rsid w:val="00F65229"/>
    <w:rsid w:val="00FB26CD"/>
    <w:rsid w:val="00FD1A15"/>
    <w:rsid w:val="00FF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0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23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68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0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23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68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CD176-9C98-4738-9C9C-8880DCD84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Faster_tech</cp:lastModifiedBy>
  <cp:revision>2</cp:revision>
  <dcterms:created xsi:type="dcterms:W3CDTF">2016-09-23T01:02:00Z</dcterms:created>
  <dcterms:modified xsi:type="dcterms:W3CDTF">2016-09-23T01:02:00Z</dcterms:modified>
</cp:coreProperties>
</file>