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B9C" w:rsidRDefault="00854B9C" w:rsidP="00854B9C">
      <w:pPr>
        <w:jc w:val="right"/>
        <w:rPr>
          <w:rtl/>
        </w:rPr>
      </w:pPr>
      <w:bookmarkStart w:id="0" w:name="_GoBack"/>
      <w:r>
        <w:rPr>
          <w:noProof/>
        </w:rPr>
        <w:drawing>
          <wp:inline distT="0" distB="0" distL="0" distR="0" wp14:anchorId="2F44C512" wp14:editId="19C6ED32">
            <wp:extent cx="2867025" cy="2428875"/>
            <wp:effectExtent l="0" t="0" r="9525" b="9525"/>
            <wp:docPr id="133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bookmarkEnd w:id="0"/>
    <w:p w:rsidR="00854B9C" w:rsidRDefault="00854B9C" w:rsidP="00854B9C">
      <w:pPr>
        <w:rPr>
          <w:rtl/>
        </w:rPr>
      </w:pPr>
    </w:p>
    <w:p w:rsidR="00854B9C" w:rsidRDefault="00854B9C" w:rsidP="00854B9C">
      <w:pPr>
        <w:bidi w:val="0"/>
        <w:jc w:val="right"/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548F61" wp14:editId="530D6609">
                <wp:simplePos x="0" y="0"/>
                <wp:positionH relativeFrom="margin">
                  <wp:align>left</wp:align>
                </wp:positionH>
                <wp:positionV relativeFrom="paragraph">
                  <wp:posOffset>287020</wp:posOffset>
                </wp:positionV>
                <wp:extent cx="8240395" cy="3848100"/>
                <wp:effectExtent l="0" t="0" r="3027680" b="190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40395" cy="3848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/>
                        </a:solidFill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chemeClr val="bg2"/>
                          </a:outerShdw>
                        </a:effectLst>
                      </wps:spPr>
                      <wps:txbx>
                        <w:txbxContent>
                          <w:p w:rsidR="00854B9C" w:rsidRDefault="00854B9C" w:rsidP="00854B9C">
                            <w:pPr>
                              <w:pStyle w:val="a5"/>
                              <w:bidi/>
                              <w:spacing w:before="432" w:beforeAutospacing="0" w:after="0" w:afterAutospacing="0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مراجعة </w:t>
                            </w:r>
                            <w:r>
                              <w:rPr>
                                <w:rFonts w:hint="cs"/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>على:</w:t>
                            </w: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التنظيم في الإدارة العامة</w:t>
                            </w:r>
                          </w:p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المركزية واللامركزية الادارية</w:t>
                            </w:r>
                          </w:p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القيادة الإدارية</w:t>
                            </w:r>
                          </w:p>
                        </w:txbxContent>
                      </wps:txbx>
                      <wps:bodyPr wrap="none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548F61" id="AutoShape 3" o:spid="_x0000_s1026" style="position:absolute;left:0;text-align:left;margin-left:0;margin-top:22.6pt;width:648.85pt;height:303pt;z-index:251661312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" fillcolor="#a50e82 [3205]" strokecolor="black [3213]">
                <v:shadow on="t" type="perspective" color="#76dbf4 [3214]" origin=",.5" offset="0,0" matrix=",-56756f,,.5"/>
                <v:textbox>
                  <w:txbxContent>
                    <w:p w:rsidR="00854B9C" w:rsidRDefault="00854B9C" w:rsidP="00854B9C">
                      <w:pPr>
                        <w:pStyle w:val="a5"/>
                        <w:bidi/>
                        <w:spacing w:before="432" w:beforeAutospacing="0" w:after="0" w:afterAutospacing="0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مراجعة </w:t>
                      </w:r>
                      <w:r>
                        <w:rPr>
                          <w:rFonts w:hint="cs"/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>على:</w:t>
                      </w: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 </w:t>
                      </w:r>
                    </w:p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التنظيم في الإدارة العامة</w:t>
                      </w:r>
                    </w:p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المركزية واللامركزية الادارية</w:t>
                      </w:r>
                    </w:p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القيادة الإدارية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54B9C">
        <w:rPr>
          <w:rFonts w:hint="cs"/>
          <w:highlight w:val="yellow"/>
          <w:rtl/>
        </w:rPr>
        <w:t>الإدارة العامة:</w:t>
      </w:r>
      <w:r>
        <w:rPr>
          <w:rFonts w:hint="cs"/>
          <w:highlight w:val="yellow"/>
          <w:rtl/>
        </w:rPr>
        <w:t xml:space="preserve"> </w:t>
      </w:r>
      <w:r>
        <w:rPr>
          <w:rFonts w:hint="cs"/>
          <w:rtl/>
        </w:rPr>
        <w:t>للدكتور محمد أمين.</w:t>
      </w:r>
    </w:p>
    <w:p w:rsidR="00854B9C" w:rsidRDefault="00854B9C" w:rsidP="00854B9C">
      <w:pPr>
        <w:bidi w:val="0"/>
        <w:jc w:val="right"/>
      </w:pPr>
    </w:p>
    <w:p w:rsidR="00854B9C" w:rsidRDefault="00854B9C" w:rsidP="00854B9C">
      <w:pPr>
        <w:bidi w:val="0"/>
        <w:jc w:val="right"/>
        <w:rPr>
          <w:rFonts w:hint="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91BB2A" wp14:editId="5C7E79ED">
                <wp:simplePos x="0" y="0"/>
                <wp:positionH relativeFrom="column">
                  <wp:posOffset>-1143000</wp:posOffset>
                </wp:positionH>
                <wp:positionV relativeFrom="paragraph">
                  <wp:posOffset>-4472940</wp:posOffset>
                </wp:positionV>
                <wp:extent cx="7315200" cy="769938"/>
                <wp:effectExtent l="38100" t="1219200" r="1219200" b="49530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0" cy="769938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miter lim="800000"/>
                          <a:headEnd/>
                          <a:tailEnd/>
                        </a:ln>
                        <a:scene3d>
                          <a:camera prst="legacyPerspectiveTopRight"/>
                          <a:lightRig rig="legacyFlat3" dir="b"/>
                        </a:scene3d>
                        <a:sp3d extrusionH="121893000" prstMaterial="legacyMatte">
                          <a:bevelT w="13500" h="13500" prst="angle"/>
                          <a:bevelB w="13500" h="13500" prst="angle"/>
                          <a:extrusionClr>
                            <a:srgbClr val="FF0000"/>
                          </a:extrusionClr>
                          <a:contourClr>
                            <a:srgbClr val="FF0000"/>
                          </a:contourClr>
                        </a:sp3d>
                      </wps:spPr>
                      <wps:txbx>
                        <w:txbxContent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المحاضرة المباشرة الثانية</w:t>
                            </w:r>
                          </w:p>
                        </w:txbxContent>
                      </wps:txbx>
                      <wps:bodyPr>
                        <a:spAutoFit/>
                        <a:flatTx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91BB2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90pt;margin-top:-352.2pt;width:8in;height:60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" fillcolor="red">
                <o:extrusion v:ext="view" backdepth="9600pt" color="red" on="t" type="perspective"/>
                <v:textbox style="mso-fit-shape-to-text:t">
                  <w:txbxContent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المحاضرة المباشرة الثانية</w:t>
                      </w:r>
                    </w:p>
                  </w:txbxContent>
                </v:textbox>
              </v:shape>
            </w:pict>
          </mc:Fallback>
        </mc:AlternateContent>
      </w: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B87B5F" w:rsidRPr="00B87B5F" w:rsidRDefault="00B87B5F" w:rsidP="00B87B5F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</w:t>
      </w:r>
      <w:r w:rsidRPr="00B87B5F">
        <w:rPr>
          <w:rFonts w:ascii="Tahoma" w:eastAsiaTheme="minorEastAsia" w:hAnsi="Arial" w:cs="Arial"/>
          <w:b/>
          <w:bCs/>
          <w:color w:val="000000" w:themeColor="text1"/>
          <w:kern w:val="24"/>
          <w:sz w:val="28"/>
          <w:szCs w:val="28"/>
          <w:rtl/>
          <w:lang w:bidi="ar-EG"/>
        </w:rPr>
        <w:t xml:space="preserve"> </w:t>
      </w: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مبادئ التنظيم</w:t>
      </w:r>
    </w:p>
    <w:p w:rsidR="00B87B5F" w:rsidRPr="00B87B5F" w:rsidRDefault="00B87B5F" w:rsidP="00B87B5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B87B5F" w:rsidRDefault="00B87B5F" w:rsidP="00B87B5F">
      <w:pPr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وحدة الهدف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التخصص وتقسيم العمل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تفويض السلطة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 w:hint="cs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كل ما سب</w:t>
      </w:r>
      <w:r w:rsidRPr="00B87B5F">
        <w:rPr>
          <w:rFonts w:eastAsiaTheme="minorEastAsia" w:hAnsi="Simplified Arabic" w:cs="Simplified Arabic" w:hint="eastAsia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ق</w:t>
      </w:r>
    </w:p>
    <w:p w:rsidR="00B87B5F" w:rsidRPr="00B87B5F" w:rsidRDefault="00B87B5F" w:rsidP="00B87B5F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أي من الحالات التالية لا يجوز التفويض فيها: </w:t>
      </w:r>
    </w:p>
    <w:p w:rsidR="00B87B5F" w:rsidRDefault="00B87B5F" w:rsidP="00B87B5F">
      <w:pPr>
        <w:pStyle w:val="a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</w:pPr>
      <w:r w:rsidRPr="00B87B5F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highlight w:val="yellow"/>
          <w:rtl/>
        </w:rPr>
        <w:t>اللوائح</w:t>
      </w:r>
      <w:r w:rsidRPr="00B87B5F"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yellow"/>
          <w:rtl/>
        </w:rPr>
        <w:t xml:space="preserve"> </w:t>
      </w:r>
      <w:r w:rsidRPr="00B87B5F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highlight w:val="yellow"/>
          <w:rtl/>
        </w:rPr>
        <w:t>المنظمة</w:t>
      </w:r>
      <w:r w:rsidRPr="00B87B5F"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yellow"/>
          <w:rtl/>
        </w:rPr>
        <w:t xml:space="preserve"> </w:t>
      </w:r>
      <w:r w:rsidRPr="00B87B5F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highlight w:val="yellow"/>
          <w:rtl/>
        </w:rPr>
        <w:t>للعمل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ضبط العمل في حال تغيب المسئول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تيسير العمل في حالة الطوارئ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تدقيق الاجراءات لضمان سلامة العمل</w:t>
      </w:r>
    </w:p>
    <w:p w:rsidR="00B87B5F" w:rsidRPr="00B87B5F" w:rsidRDefault="00B87B5F" w:rsidP="00B87B5F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يمكن تفسير مبدأ وحدة القيادة على أنه: 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حق كل مرؤوس في أن يكون له رئيس واحد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قائد بارع قوي الشخصية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قائد لا يخشى مرؤوسيه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رئيس متمكن يقود مؤسسته الحكومية بمهارة</w:t>
      </w:r>
    </w:p>
    <w:p w:rsidR="00B87B5F" w:rsidRPr="006C26F5" w:rsidRDefault="00B87B5F" w:rsidP="006C26F5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عندما تطبق الدولة وظيفة التنظيم بمؤسساتها فان ذلك يعتبر: 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وسيلة لتحقيق هدفها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غاية اساسية تسعى للوصول اليها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رؤية تسعى لبلوغها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كل ما سبق </w:t>
      </w:r>
    </w:p>
    <w:p w:rsidR="00B87B5F" w:rsidRPr="006C26F5" w:rsidRDefault="00B87B5F" w:rsidP="006C26F5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من أنواع السلطة </w:t>
      </w:r>
      <w:r w:rsidR="006C26F5" w:rsidRPr="006C26F5">
        <w:rPr>
          <w:rFonts w:ascii="Tahoma" w:eastAsiaTheme="minorEastAsia" w:hAnsi="Arial" w:cs="Arial" w:hint="cs"/>
          <w:b/>
          <w:bCs/>
          <w:color w:val="FF0000"/>
          <w:kern w:val="24"/>
          <w:sz w:val="28"/>
          <w:szCs w:val="28"/>
          <w:rtl/>
          <w:lang w:bidi="ar-EG"/>
        </w:rPr>
        <w:t>الرسمية: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السلطة الوظيفية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السلطة التنفيذية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السلطة الاستشارية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C26F5">
        <w:rPr>
          <w:rFonts w:ascii="Times New Roman" w:eastAsia="Times New Roman" w:hAnsi="Times New Roman" w:cs="Times New Roman" w:hint="cs"/>
          <w:b/>
          <w:bCs/>
          <w:sz w:val="28"/>
          <w:szCs w:val="28"/>
          <w:highlight w:val="yellow"/>
          <w:rtl/>
        </w:rPr>
        <w:t>كل ما سبق</w:t>
      </w:r>
      <w:r w:rsidRPr="006C26F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:rsidR="006C26F5" w:rsidRPr="006C26F5" w:rsidRDefault="006C26F5" w:rsidP="006C26F5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26F5">
        <w:rPr>
          <w:rFonts w:ascii="Tahoma" w:eastAsiaTheme="minorEastAsia" w:hAnsi="Tahoma" w:cs="Arial"/>
          <w:color w:val="FF0000"/>
          <w:kern w:val="24"/>
          <w:sz w:val="28"/>
          <w:szCs w:val="28"/>
          <w:rtl/>
          <w:lang w:bidi="ar-EG"/>
        </w:rPr>
        <w:t>........</w:t>
      </w:r>
      <w:r w:rsidRPr="006C26F5">
        <w:rPr>
          <w:rFonts w:ascii="Tahoma" w:eastAsiaTheme="minorEastAsia" w:hAnsi="Tahoma" w:cs="Arial"/>
          <w:color w:val="FF0000"/>
          <w:kern w:val="24"/>
          <w:sz w:val="28"/>
          <w:szCs w:val="28"/>
          <w:rtl/>
        </w:rPr>
        <w:t xml:space="preserve"> تمنح صاحبها حق اصدار الاوامر والتعليمات الى العاملين بالإدارات</w:t>
      </w:r>
    </w:p>
    <w:p w:rsidR="006C26F5" w:rsidRP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Tahoma" w:cs="Arial"/>
          <w:color w:val="FF0000"/>
          <w:kern w:val="24"/>
          <w:sz w:val="28"/>
          <w:szCs w:val="28"/>
          <w:rtl/>
        </w:rPr>
        <w:t xml:space="preserve"> الاخرى من واقع حاجة هذه الادارات الى الخدمات التي تقدمها ادارته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السلطة الوظيفية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السلطة الاستشارية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السلطة التنفيذية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6C26F5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6C26F5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6C26F5" w:rsidRPr="006C26F5" w:rsidRDefault="006C26F5" w:rsidP="006C26F5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 الحالات التي تظهر الحاجة الى إعادة التنظيم</w:t>
      </w:r>
    </w:p>
    <w:p w:rsidR="006C26F5" w:rsidRP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lastRenderedPageBreak/>
        <w:t>خطأ في التصميم التنظيمي</w:t>
      </w:r>
    </w:p>
    <w:p w:rsidR="006C26F5" w:rsidRPr="006C26F5" w:rsidRDefault="006C26F5" w:rsidP="006C26F5">
      <w:pPr>
        <w:bidi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حدوث تغيرات داخلية أو خارجية</w:t>
      </w:r>
    </w:p>
    <w:p w:rsidR="006C26F5" w:rsidRPr="006C26F5" w:rsidRDefault="006C26F5" w:rsidP="006C26F5">
      <w:pPr>
        <w:bidi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ضعف كفاءة التنظيم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كل ما سبق</w:t>
      </w:r>
    </w:p>
    <w:p w:rsidR="006C26F5" w:rsidRPr="006C26F5" w:rsidRDefault="006C26F5" w:rsidP="006C26F5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يعبر عن الحالة المركزية المطلقة تلك التي تتم عن طريق تركيز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</w:pPr>
      <w:r w:rsidRPr="006C26F5">
        <w:rPr>
          <w:rFonts w:ascii="Tahoma" w:eastAsiaTheme="minorEastAsia" w:hAnsi="Tahoma" w:cs="Arial"/>
          <w:b/>
          <w:bCs/>
          <w:color w:val="FF0000"/>
          <w:kern w:val="24"/>
          <w:sz w:val="28"/>
          <w:szCs w:val="28"/>
          <w:rtl/>
        </w:rPr>
        <w:t xml:space="preserve"> السلطة الإدارية في قبضة الحكومة</w:t>
      </w:r>
      <w:r w:rsidRPr="006C26F5">
        <w:rPr>
          <w:rFonts w:ascii="Tahoma" w:eastAsiaTheme="minorEastAsia" w:hAnsi="Tahoma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 </w:t>
      </w: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المركزية بعاصمة الدولة</w:t>
      </w:r>
    </w:p>
    <w:p w:rsidR="006C26F5" w:rsidRDefault="006C26F5" w:rsidP="006C26F5">
      <w:pPr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 xml:space="preserve">التركيز </w:t>
      </w:r>
      <w:r>
        <w:rPr>
          <w:rFonts w:eastAsiaTheme="minorEastAsia" w:hAnsi="Simplified Arabic" w:cs="Simplified Arabic" w:hint="cs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الإداري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عدم التركيز </w:t>
      </w:r>
      <w:r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الإداري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تفويض السلطة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6C26F5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6C26F5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6C26F5" w:rsidRDefault="006C26F5" w:rsidP="006C26F5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درجة أخف من درجات المركزية</w:t>
      </w: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، </w:t>
      </w: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ويعتمد في ذلك على تفويض السلطات</w:t>
      </w:r>
    </w:p>
    <w:p w:rsidR="005B00F6" w:rsidRDefault="005B00F6" w:rsidP="005B00F6">
      <w:pPr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 xml:space="preserve">التركيز </w:t>
      </w:r>
      <w:r w:rsidRPr="005B00F6">
        <w:rPr>
          <w:rFonts w:eastAsiaTheme="minorEastAsia" w:hAnsi="Simplified Arabic" w:cs="Simplified Arabic" w:hint="cs"/>
          <w:b/>
          <w:bCs/>
          <w:color w:val="000000" w:themeColor="dark1"/>
          <w:kern w:val="24"/>
          <w:sz w:val="28"/>
          <w:szCs w:val="28"/>
          <w:rtl/>
          <w:lang w:bidi="ar-EG"/>
        </w:rPr>
        <w:t>الإداري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 xml:space="preserve">عدم التركيز </w:t>
      </w:r>
      <w:r w:rsidRPr="005B00F6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الإداري</w:t>
      </w:r>
    </w:p>
    <w:p w:rsidR="005B00F6" w:rsidRDefault="005B00F6" w:rsidP="005B00F6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تفويض السلطة</w:t>
      </w:r>
    </w:p>
    <w:p w:rsidR="006C26F5" w:rsidRDefault="005B00F6" w:rsidP="005B00F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6C26F5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6C26F5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5B00F6" w:rsidRDefault="005B00F6" w:rsidP="005B00F6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لا فرق بين اللامركزية الادارية وعدم التركيز </w:t>
      </w:r>
      <w:r w:rsidRPr="005B00F6">
        <w:rPr>
          <w:rFonts w:ascii="Tahoma" w:eastAsiaTheme="minorEastAsia" w:hAnsi="Arial" w:cs="Arial" w:hint="cs"/>
          <w:b/>
          <w:bCs/>
          <w:color w:val="FF0000"/>
          <w:kern w:val="24"/>
          <w:sz w:val="28"/>
          <w:szCs w:val="28"/>
          <w:rtl/>
          <w:lang w:bidi="ar-EG"/>
        </w:rPr>
        <w:t>الإداري</w:t>
      </w:r>
    </w:p>
    <w:p w:rsidR="005B00F6" w:rsidRDefault="005B00F6" w:rsidP="005B00F6">
      <w:pPr>
        <w:pStyle w:val="a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</w:pPr>
      <w:r w:rsidRPr="005B00F6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  <w:lang w:bidi="ar-EG"/>
        </w:rPr>
        <w:t xml:space="preserve">صح -  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highlight w:val="yellow"/>
          <w:rtl/>
          <w:lang w:bidi="ar-EG"/>
        </w:rPr>
        <w:t>خطا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</w:p>
    <w:p w:rsidR="005B00F6" w:rsidRDefault="005B00F6" w:rsidP="005B00F6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يعد النظام المركزي هو النظام الأفضل في الإدارة العامة للدولة</w:t>
      </w:r>
    </w:p>
    <w:p w:rsidR="005B00F6" w:rsidRDefault="005B00F6" w:rsidP="005B00F6">
      <w:pPr>
        <w:pStyle w:val="a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  <w:lang w:bidi="ar-EG"/>
        </w:rPr>
        <w:t xml:space="preserve">صح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EG"/>
        </w:rPr>
        <w:t>–</w:t>
      </w:r>
      <w: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  <w:lang w:bidi="ar-EG"/>
        </w:rPr>
        <w:t xml:space="preserve"> 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highlight w:val="yellow"/>
          <w:rtl/>
          <w:lang w:bidi="ar-EG"/>
        </w:rPr>
        <w:t>خطا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</w:p>
    <w:p w:rsidR="005B00F6" w:rsidRPr="005B00F6" w:rsidRDefault="005B00F6" w:rsidP="005B00F6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تتمثل مصادر السلطة في العملية الإدارية في السلطة الرسمية فقط 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 xml:space="preserve">صح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–</w:t>
      </w:r>
      <w: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 xml:space="preserve"> 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highlight w:val="yellow"/>
          <w:rtl/>
        </w:rPr>
        <w:t>خطا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00F6" w:rsidRPr="005B00F6" w:rsidRDefault="005B00F6" w:rsidP="005B00F6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ahoma" w:eastAsiaTheme="minorEastAsia" w:hAnsi="Simplified Arabic" w:cs="Simplified Arabic"/>
          <w:b/>
          <w:bCs/>
          <w:color w:val="FF0000"/>
          <w:kern w:val="24"/>
          <w:sz w:val="28"/>
          <w:szCs w:val="28"/>
          <w:rtl/>
          <w:lang w:bidi="ar-EG"/>
        </w:rPr>
        <w:t xml:space="preserve">وفقاً لنظرة .... في القيادة، تتوقف القيادة على مجموعة من السمات </w:t>
      </w:r>
      <w:r w:rsidRPr="005B00F6">
        <w:rPr>
          <w:rFonts w:ascii="Tahoma" w:eastAsiaTheme="minorEastAsia" w:hAnsi="Simplified Arabic" w:cs="Simplified Arabic" w:hint="cs"/>
          <w:b/>
          <w:bCs/>
          <w:color w:val="FF0000"/>
          <w:kern w:val="24"/>
          <w:sz w:val="28"/>
          <w:szCs w:val="28"/>
          <w:rtl/>
          <w:lang w:bidi="ar-EG"/>
        </w:rPr>
        <w:t>الإيجابية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نظرية السمات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نظرية الموقف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النظرية التفاعلية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5B00F6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5B00F6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5B00F6" w:rsidRPr="005B00F6" w:rsidRDefault="005B00F6" w:rsidP="005B00F6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 المهارات الذهنية التي يجب توافرها في القائد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مهارات ادارية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مهارات سياسية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مهارات فنية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أ، ب معاً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5B00F6" w:rsidRPr="007550FE" w:rsidRDefault="005B00F6" w:rsidP="007550FE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نظرية ..... تقوم على فلسفة مؤداه ان الظروف هي التي تخلق القادة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lastRenderedPageBreak/>
        <w:t>السمات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التفاعلية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الموقف</w:t>
      </w:r>
    </w:p>
    <w:p w:rsidR="005B00F6" w:rsidRPr="007550FE" w:rsidRDefault="005B00F6" w:rsidP="007550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أ، ب معاُ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يتميز القيادة...</w:t>
      </w:r>
      <w:r w:rsidRPr="007550FE">
        <w:rPr>
          <w:rFonts w:ascii="Tahoma" w:eastAsiaTheme="minorEastAsia" w:hAnsi="Arial" w:cs="Arial" w:hint="cs"/>
          <w:b/>
          <w:bCs/>
          <w:color w:val="FF0000"/>
          <w:kern w:val="24"/>
          <w:sz w:val="28"/>
          <w:szCs w:val="28"/>
          <w:rtl/>
          <w:lang w:bidi="ar-EG"/>
        </w:rPr>
        <w:t>.. بمحاول</w:t>
      </w:r>
      <w:r w:rsidRPr="007550FE">
        <w:rPr>
          <w:rFonts w:ascii="Tahoma" w:eastAsiaTheme="minorEastAsia" w:hAnsi="Arial" w:cs="Arial" w:hint="eastAsia"/>
          <w:b/>
          <w:bCs/>
          <w:color w:val="FF0000"/>
          <w:kern w:val="24"/>
          <w:sz w:val="28"/>
          <w:szCs w:val="28"/>
          <w:rtl/>
          <w:lang w:bidi="ar-EG"/>
        </w:rPr>
        <w:t>ة</w:t>
      </w: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 تركيز كل السطات في يده.</w:t>
      </w:r>
    </w:p>
    <w:p w:rsidR="007550FE" w:rsidRPr="007550FE" w:rsidRDefault="007550FE" w:rsidP="007550FE">
      <w:pPr>
        <w:pStyle w:val="a6"/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7550FE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التحويلية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الموجهة بالأداء</w:t>
      </w:r>
    </w:p>
    <w:p w:rsidR="007550FE" w:rsidRPr="007550FE" w:rsidRDefault="007550FE" w:rsidP="007550FE">
      <w:pPr>
        <w:pStyle w:val="a5"/>
        <w:bidi/>
        <w:spacing w:before="0" w:beforeAutospacing="0" w:after="0" w:afterAutospacing="0"/>
        <w:textAlignment w:val="baseline"/>
        <w:rPr>
          <w:sz w:val="28"/>
          <w:szCs w:val="28"/>
        </w:rPr>
      </w:pPr>
      <w:r w:rsidRPr="007550FE">
        <w:rPr>
          <w:rFonts w:asciiTheme="minorHAnsi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7550FE">
        <w:rPr>
          <w:rFonts w:asciiTheme="minorHAnsi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7550FE">
        <w:rPr>
          <w:rFonts w:asciiTheme="minorHAnsi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7550FE">
        <w:rPr>
          <w:rFonts w:asciiTheme="minorHAnsi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 xml:space="preserve"> </w:t>
      </w: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highlight w:val="yellow"/>
          <w:rtl/>
          <w:lang w:bidi="ar-EG"/>
        </w:rPr>
        <w:t>الأوتوقراطية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 الافتراضات التي قامت عليها القيادة الأوتوقراطية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الانسان كسول وغير طموح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الحوافز السلبية لتشجيع الافراد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المتابعة الدقيقة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كل ما سبق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 نماذج القيادة الديمقراطية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ان يتخذ القائد المدير بنفسه واثارة النقاش لمعرفة مدى قبول المرؤوسين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وضع حدود معينة يمكن للمرؤوسين اتخاذ القرار في نطاق هذه الحدود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ترك الحرية للمرؤوسين في اتخاذ القرار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highlight w:val="yellow"/>
          <w:rtl/>
          <w:lang w:bidi="ar-EG"/>
        </w:rPr>
        <w:t>كل ما سبق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تركز..... على </w:t>
      </w:r>
      <w:r w:rsidRPr="007550FE">
        <w:rPr>
          <w:rFonts w:ascii="Tahoma" w:eastAsiaTheme="minorEastAsia" w:hAnsi="Arial" w:cs="Arial"/>
          <w:color w:val="FF0000"/>
          <w:kern w:val="24"/>
          <w:sz w:val="28"/>
          <w:szCs w:val="28"/>
          <w:rtl/>
          <w14:shadow w14:blurRad="38100" w14:dist="38100" w14:dir="2700000" w14:sx="100000" w14:sy="100000" w14:kx="0" w14:ky="0" w14:algn="tl">
            <w14:srgbClr w14:val="000000"/>
          </w14:shadow>
        </w:rPr>
        <w:t>تحويل المنظمة من الوضع الحالي الى المنشود من خلال تعزيز قيم التغيير</w:t>
      </w:r>
      <w:r w:rsidRPr="007550FE">
        <w:rPr>
          <w:rFonts w:ascii="Tahoma" w:eastAsiaTheme="minorEastAsia" w:hAnsi="Tahoma" w:cs="Arial"/>
          <w:color w:val="FF0000"/>
          <w:kern w:val="24"/>
          <w:sz w:val="28"/>
          <w:szCs w:val="28"/>
          <w:rtl/>
          <w14:shadow w14:blurRad="38100" w14:dist="38100" w14:dir="2700000" w14:sx="100000" w14:sy="100000" w14:kx="0" w14:ky="0" w14:algn="tl">
            <w14:srgbClr w14:val="000000"/>
          </w14:shadow>
        </w:rPr>
        <w:t>.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التحويلية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الموجهة بالأداء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الأوتوقراطية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 xml:space="preserve">لا </w:t>
      </w:r>
      <w:r w:rsidRPr="007550FE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شي</w:t>
      </w:r>
      <w:r w:rsidRPr="007550FE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ء</w:t>
      </w: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 xml:space="preserve"> مما سبق</w:t>
      </w:r>
    </w:p>
    <w:sectPr w:rsidR="007550FE" w:rsidSect="004F5E01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4936" w:rsidRDefault="00F94936" w:rsidP="00854B9C">
      <w:pPr>
        <w:spacing w:after="0" w:line="240" w:lineRule="auto"/>
      </w:pPr>
      <w:r>
        <w:separator/>
      </w:r>
    </w:p>
  </w:endnote>
  <w:endnote w:type="continuationSeparator" w:id="0">
    <w:p w:rsidR="00F94936" w:rsidRDefault="00F94936" w:rsidP="0085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-576669306"/>
      <w:docPartObj>
        <w:docPartGallery w:val="Page Numbers (Bottom of Page)"/>
        <w:docPartUnique/>
      </w:docPartObj>
    </w:sdtPr>
    <w:sdtEndPr>
      <w:rPr>
        <w:rFonts w:asciiTheme="minorHAnsi" w:eastAsiaTheme="minorHAnsi" w:hAnsiTheme="minorHAnsi" w:cstheme="minorBidi"/>
        <w:sz w:val="22"/>
        <w:szCs w:val="22"/>
        <w:lang w:val="en-US"/>
      </w:rPr>
    </w:sdtEndPr>
    <w:sdtContent>
      <w:p w:rsidR="00854B9C" w:rsidRDefault="00854B9C">
        <w:pPr>
          <w:pStyle w:val="a4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DD3BD1" w:rsidRPr="00DD3BD1">
          <w:rPr>
            <w:rFonts w:asciiTheme="majorHAnsi" w:eastAsiaTheme="majorEastAsia" w:hAnsiTheme="majorHAnsi" w:cstheme="majorBidi"/>
            <w:noProof/>
            <w:sz w:val="28"/>
            <w:szCs w:val="28"/>
            <w:rtl/>
            <w:lang w:val="ar-SA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854B9C" w:rsidRDefault="00854B9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4936" w:rsidRDefault="00F94936" w:rsidP="00854B9C">
      <w:pPr>
        <w:spacing w:after="0" w:line="240" w:lineRule="auto"/>
      </w:pPr>
      <w:r>
        <w:separator/>
      </w:r>
    </w:p>
  </w:footnote>
  <w:footnote w:type="continuationSeparator" w:id="0">
    <w:p w:rsidR="00F94936" w:rsidRDefault="00F94936" w:rsidP="00854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0FE" w:rsidRPr="007550FE" w:rsidRDefault="007550FE" w:rsidP="007550FE">
    <w:pPr>
      <w:pStyle w:val="a3"/>
      <w:jc w:val="right"/>
      <w:rPr>
        <w:color w:val="000000" w:themeColor="text1"/>
        <w:sz w:val="32"/>
        <w:szCs w:val="32"/>
      </w:rPr>
    </w:pPr>
    <w:r w:rsidRPr="007550FE">
      <w:rPr>
        <w:rFonts w:hint="cs"/>
        <w:color w:val="000000" w:themeColor="text1"/>
        <w:sz w:val="32"/>
        <w:szCs w:val="32"/>
        <w:highlight w:val="green"/>
        <w:rtl/>
      </w:rPr>
      <w:t xml:space="preserve">تلخيص : </w:t>
    </w:r>
    <w:r w:rsidRPr="007550FE">
      <w:rPr>
        <w:color w:val="000000" w:themeColor="text1"/>
        <w:sz w:val="32"/>
        <w:szCs w:val="32"/>
        <w:highlight w:val="green"/>
      </w:rPr>
      <w:t>soonah</w:t>
    </w:r>
    <w:r w:rsidRPr="007550FE">
      <w:rPr>
        <w:color w:val="000000" w:themeColor="text1"/>
        <w:sz w:val="32"/>
        <w:szCs w:val="3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7229A"/>
    <w:multiLevelType w:val="hybridMultilevel"/>
    <w:tmpl w:val="243C96FE"/>
    <w:lvl w:ilvl="0" w:tplc="59CC6DF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B9C"/>
    <w:rsid w:val="004F5E01"/>
    <w:rsid w:val="005B00F6"/>
    <w:rsid w:val="005C6019"/>
    <w:rsid w:val="006C26F5"/>
    <w:rsid w:val="007550FE"/>
    <w:rsid w:val="00854B9C"/>
    <w:rsid w:val="00B87B5F"/>
    <w:rsid w:val="00DD3BD1"/>
    <w:rsid w:val="00F9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6E8563"/>
  <w15:chartTrackingRefBased/>
  <w15:docId w15:val="{9B2E8D6A-EFA5-4DD9-8143-EA43BB393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54B9C"/>
  </w:style>
  <w:style w:type="paragraph" w:styleId="a4">
    <w:name w:val="footer"/>
    <w:basedOn w:val="a"/>
    <w:link w:val="Char0"/>
    <w:uiPriority w:val="99"/>
    <w:unhideWhenUsed/>
    <w:rsid w:val="00854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54B9C"/>
  </w:style>
  <w:style w:type="paragraph" w:styleId="a5">
    <w:name w:val="Normal (Web)"/>
    <w:basedOn w:val="a"/>
    <w:uiPriority w:val="99"/>
    <w:semiHidden/>
    <w:unhideWhenUsed/>
    <w:rsid w:val="00854B9C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B87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شريحة">
  <a:themeElements>
    <a:clrScheme name="شريحة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شريحة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شريحة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ahmed</dc:creator>
  <cp:keywords/>
  <dc:description/>
  <cp:lastModifiedBy>Mai ahmed</cp:lastModifiedBy>
  <cp:revision>1</cp:revision>
  <dcterms:created xsi:type="dcterms:W3CDTF">2016-03-06T07:51:00Z</dcterms:created>
  <dcterms:modified xsi:type="dcterms:W3CDTF">2016-03-06T09:28:00Z</dcterms:modified>
</cp:coreProperties>
</file>