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14F" w:rsidRPr="00FC2122" w:rsidRDefault="00FC2122" w:rsidP="004E5D4C">
      <w:pPr>
        <w:jc w:val="center"/>
        <w:rPr>
          <w:rFonts w:hint="cs"/>
          <w:sz w:val="32"/>
          <w:szCs w:val="32"/>
        </w:rPr>
      </w:pPr>
      <w:r w:rsidRPr="00471623">
        <w:rPr>
          <w:rFonts w:ascii="Traditional Arabic" w:hAnsi="Traditional Arabic" w:cs="Traditional Arabic"/>
          <w:color w:val="0070C0"/>
          <w:sz w:val="40"/>
          <w:szCs w:val="40"/>
          <w:highlight w:val="yellow"/>
          <w:shd w:val="clear" w:color="auto" w:fill="F6F6F6"/>
          <w:rtl/>
        </w:rPr>
        <w:t>يرتبط الطب والنسق الطبي بأجزاء من</w:t>
      </w:r>
      <w:r w:rsidRPr="00471623">
        <w:rPr>
          <w:rFonts w:ascii="Traditional Arabic" w:hAnsi="Traditional Arabic" w:cs="Traditional Arabic"/>
          <w:color w:val="0070C0"/>
          <w:sz w:val="40"/>
          <w:szCs w:val="40"/>
          <w:highlight w:val="yellow"/>
          <w:shd w:val="clear" w:color="auto" w:fill="F6F6F6"/>
        </w:rPr>
        <w:t xml:space="preserve"> :</w:t>
      </w:r>
      <w:r w:rsidRPr="004E5D4C">
        <w:rPr>
          <w:rFonts w:ascii="Traditional Arabic" w:hAnsi="Traditional Arabic" w:cs="Traditional Arabic"/>
          <w:color w:val="000000"/>
          <w:sz w:val="40"/>
          <w:szCs w:val="40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1. 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حركة الإنسان الفيزيقية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2. 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برامج الطب الوقائي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3. </w:t>
      </w:r>
      <w:r w:rsidRPr="004E5D4C">
        <w:rPr>
          <w:rFonts w:ascii="Traditional Arabic" w:hAnsi="Traditional Arabic" w:cs="Traditional Arabic"/>
          <w:color w:val="FF0000"/>
          <w:sz w:val="32"/>
          <w:szCs w:val="32"/>
          <w:u w:val="single"/>
        </w:rPr>
        <w:br/>
      </w:r>
      <w:r w:rsidRPr="00471623">
        <w:rPr>
          <w:rFonts w:ascii="Traditional Arabic" w:hAnsi="Traditional Arabic" w:cs="Traditional Arabic"/>
          <w:color w:val="FF0000"/>
          <w:sz w:val="32"/>
          <w:szCs w:val="32"/>
          <w:highlight w:val="cyan"/>
          <w:u w:val="single"/>
          <w:shd w:val="clear" w:color="auto" w:fill="F6F6F6"/>
          <w:rtl/>
        </w:rPr>
        <w:t>ثقافة المجتمع ونسقه الاجتماعي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4. 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الجسم الإنساني كظاهرة طبيعية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71623">
        <w:rPr>
          <w:rFonts w:ascii="Traditional Arabic" w:hAnsi="Traditional Arabic" w:cs="Traditional Arabic"/>
          <w:color w:val="0070C0"/>
          <w:sz w:val="32"/>
          <w:szCs w:val="32"/>
          <w:highlight w:val="yellow"/>
          <w:shd w:val="clear" w:color="auto" w:fill="F6F6F6"/>
          <w:rtl/>
        </w:rPr>
        <w:t xml:space="preserve">اهتم </w:t>
      </w:r>
      <w:proofErr w:type="spellStart"/>
      <w:r w:rsidRPr="00471623">
        <w:rPr>
          <w:rFonts w:ascii="Traditional Arabic" w:hAnsi="Traditional Arabic" w:cs="Traditional Arabic"/>
          <w:color w:val="0070C0"/>
          <w:sz w:val="32"/>
          <w:szCs w:val="32"/>
          <w:highlight w:val="yellow"/>
          <w:shd w:val="clear" w:color="auto" w:fill="F6F6F6"/>
          <w:rtl/>
        </w:rPr>
        <w:t>تالكوت</w:t>
      </w:r>
      <w:proofErr w:type="spellEnd"/>
      <w:r w:rsidRPr="00471623">
        <w:rPr>
          <w:rFonts w:ascii="Traditional Arabic" w:hAnsi="Traditional Arabic" w:cs="Traditional Arabic"/>
          <w:color w:val="0070C0"/>
          <w:sz w:val="32"/>
          <w:szCs w:val="32"/>
          <w:highlight w:val="yellow"/>
          <w:shd w:val="clear" w:color="auto" w:fill="F6F6F6"/>
          <w:rtl/>
        </w:rPr>
        <w:t xml:space="preserve"> </w:t>
      </w:r>
      <w:proofErr w:type="spellStart"/>
      <w:r w:rsidRPr="00471623">
        <w:rPr>
          <w:rFonts w:ascii="Traditional Arabic" w:hAnsi="Traditional Arabic" w:cs="Traditional Arabic"/>
          <w:color w:val="0070C0"/>
          <w:sz w:val="32"/>
          <w:szCs w:val="32"/>
          <w:highlight w:val="yellow"/>
          <w:shd w:val="clear" w:color="auto" w:fill="F6F6F6"/>
          <w:rtl/>
        </w:rPr>
        <w:t>بارسونز</w:t>
      </w:r>
      <w:proofErr w:type="spellEnd"/>
      <w:r w:rsidRPr="00471623">
        <w:rPr>
          <w:rFonts w:ascii="Traditional Arabic" w:hAnsi="Traditional Arabic" w:cs="Traditional Arabic"/>
          <w:color w:val="0070C0"/>
          <w:sz w:val="32"/>
          <w:szCs w:val="32"/>
          <w:highlight w:val="yellow"/>
          <w:shd w:val="clear" w:color="auto" w:fill="F6F6F6"/>
          <w:rtl/>
        </w:rPr>
        <w:t xml:space="preserve"> بعملية التحليل الوظيفي حينما نظر للمرض على أنه</w:t>
      </w:r>
      <w:r w:rsidRPr="00471623">
        <w:rPr>
          <w:rFonts w:ascii="Traditional Arabic" w:hAnsi="Traditional Arabic" w:cs="Traditional Arabic"/>
          <w:color w:val="0070C0"/>
          <w:sz w:val="32"/>
          <w:szCs w:val="32"/>
          <w:highlight w:val="yellow"/>
          <w:shd w:val="clear" w:color="auto" w:fill="F6F6F6"/>
        </w:rPr>
        <w:t>:</w:t>
      </w:r>
      <w:r w:rsidRPr="004E5D4C">
        <w:rPr>
          <w:rFonts w:ascii="Traditional Arabic" w:hAnsi="Traditional Arabic" w:cs="Traditional Arabic"/>
          <w:color w:val="0070C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أوافق</w:t>
      </w:r>
      <w:r w:rsidRPr="004E5D4C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أختلف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71623">
        <w:rPr>
          <w:rFonts w:ascii="Traditional Arabic" w:hAnsi="Traditional Arabic" w:cs="Traditional Arabic"/>
          <w:color w:val="0070C0"/>
          <w:sz w:val="32"/>
          <w:szCs w:val="32"/>
          <w:highlight w:val="yellow"/>
          <w:shd w:val="clear" w:color="auto" w:fill="F6F6F6"/>
          <w:rtl/>
        </w:rPr>
        <w:t>تعتبر مرحلة تقبل التسهيلات العلاجية والوقائية هي المرحلة الثانية من مراحل تقبل البرامج الصحية في</w:t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 xml:space="preserve"> المجتمع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صواب خطأ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71623">
        <w:rPr>
          <w:rFonts w:ascii="Traditional Arabic" w:hAnsi="Traditional Arabic" w:cs="Traditional Arabic"/>
          <w:color w:val="000000"/>
          <w:sz w:val="32"/>
          <w:szCs w:val="32"/>
          <w:highlight w:val="yellow"/>
          <w:shd w:val="clear" w:color="auto" w:fill="F6F6F6"/>
          <w:rtl/>
        </w:rPr>
        <w:t>ينسب تعريف علم الاجتماع الطبي بأنه : "علم يهتم بالوظائف الاجتماعية للمنظمات الصحية" إلى</w:t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 xml:space="preserve"> </w:t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lastRenderedPageBreak/>
        <w:t>العالم</w:t>
      </w:r>
      <w:r w:rsidRPr="00471623">
        <w:rPr>
          <w:rFonts w:ascii="Traditional Arabic" w:hAnsi="Traditional Arabic" w:cs="Traditional Arabic"/>
          <w:color w:val="000000"/>
          <w:sz w:val="32"/>
          <w:szCs w:val="32"/>
          <w:highlight w:val="cyan"/>
          <w:shd w:val="clear" w:color="auto" w:fill="F6F6F6"/>
        </w:rPr>
        <w:t>.........................</w:t>
      </w:r>
      <w:proofErr w:type="spellStart"/>
      <w:r w:rsidRPr="00471623">
        <w:rPr>
          <w:rFonts w:ascii="Traditional Arabic" w:hAnsi="Traditional Arabic" w:cs="Traditional Arabic" w:hint="cs"/>
          <w:color w:val="FF0000"/>
          <w:sz w:val="32"/>
          <w:szCs w:val="32"/>
          <w:highlight w:val="cyan"/>
          <w:u w:val="single"/>
          <w:shd w:val="clear" w:color="auto" w:fill="F6F6F6"/>
          <w:rtl/>
        </w:rPr>
        <w:t>كوركهام</w:t>
      </w:r>
      <w:proofErr w:type="spellEnd"/>
      <w:r w:rsidRPr="00471623">
        <w:rPr>
          <w:rFonts w:ascii="Traditional Arabic" w:hAnsi="Traditional Arabic" w:cs="Traditional Arabic"/>
          <w:color w:val="000000"/>
          <w:sz w:val="32"/>
          <w:szCs w:val="32"/>
          <w:highlight w:val="cyan"/>
          <w:shd w:val="clear" w:color="auto" w:fill="F6F6F6"/>
        </w:rPr>
        <w:t>..........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71623">
        <w:rPr>
          <w:rFonts w:ascii="Traditional Arabic" w:hAnsi="Traditional Arabic" w:cs="Traditional Arabic"/>
          <w:color w:val="000000"/>
          <w:sz w:val="32"/>
          <w:szCs w:val="32"/>
          <w:highlight w:val="yellow"/>
          <w:shd w:val="clear" w:color="auto" w:fill="F6F6F6"/>
          <w:rtl/>
        </w:rPr>
        <w:t>تعتبر من أهم الشروط التي تسهم في تأكيد التكامل والانسجام بين الأطباء والمرضى هو</w:t>
      </w:r>
      <w:proofErr w:type="gramStart"/>
      <w:r w:rsidRPr="00471623">
        <w:rPr>
          <w:rFonts w:ascii="Traditional Arabic" w:hAnsi="Traditional Arabic" w:cs="Traditional Arabic"/>
          <w:color w:val="000000"/>
          <w:sz w:val="32"/>
          <w:szCs w:val="32"/>
          <w:highlight w:val="yellow"/>
          <w:shd w:val="clear" w:color="auto" w:fill="F6F6F6"/>
        </w:rPr>
        <w:t>:</w:t>
      </w:r>
      <w:proofErr w:type="gramEnd"/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1. 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دراسة الطب المجتمعي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2. 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انعدام الثقة ب</w:t>
      </w:r>
      <w:proofErr w:type="gramStart"/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ين الطبيب وا</w:t>
      </w:r>
      <w:proofErr w:type="gramEnd"/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لمريض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3. 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الضبط البيئي ل</w:t>
      </w:r>
      <w:proofErr w:type="gramStart"/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لمرض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4.</w:t>
      </w:r>
      <w:proofErr w:type="gramEnd"/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 </w:t>
      </w:r>
      <w:r w:rsidRPr="004E5D4C">
        <w:rPr>
          <w:rFonts w:ascii="Traditional Arabic" w:hAnsi="Traditional Arabic" w:cs="Traditional Arabic"/>
          <w:color w:val="FF0000"/>
          <w:sz w:val="32"/>
          <w:szCs w:val="32"/>
          <w:u w:val="single"/>
        </w:rPr>
        <w:br/>
      </w:r>
      <w:proofErr w:type="gramStart"/>
      <w:r w:rsidRPr="00471623">
        <w:rPr>
          <w:rFonts w:ascii="Traditional Arabic" w:hAnsi="Traditional Arabic" w:cs="Traditional Arabic"/>
          <w:color w:val="FF0000"/>
          <w:sz w:val="32"/>
          <w:szCs w:val="32"/>
          <w:highlight w:val="cyan"/>
          <w:u w:val="single"/>
          <w:shd w:val="clear" w:color="auto" w:fill="F6F6F6"/>
          <w:rtl/>
        </w:rPr>
        <w:t>اس</w:t>
      </w:r>
      <w:proofErr w:type="gramEnd"/>
      <w:r w:rsidRPr="00471623">
        <w:rPr>
          <w:rFonts w:ascii="Traditional Arabic" w:hAnsi="Traditional Arabic" w:cs="Traditional Arabic"/>
          <w:color w:val="FF0000"/>
          <w:sz w:val="32"/>
          <w:szCs w:val="32"/>
          <w:highlight w:val="cyan"/>
          <w:u w:val="single"/>
          <w:shd w:val="clear" w:color="auto" w:fill="F6F6F6"/>
          <w:rtl/>
        </w:rPr>
        <w:t>تخدام اللغة بمهارة</w:t>
      </w:r>
      <w:r w:rsidRPr="004E5D4C">
        <w:rPr>
          <w:rFonts w:ascii="Traditional Arabic" w:hAnsi="Traditional Arabic" w:cs="Traditional Arabic"/>
          <w:color w:val="FF0000"/>
          <w:sz w:val="32"/>
          <w:szCs w:val="32"/>
          <w:u w:val="single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71623">
        <w:rPr>
          <w:rFonts w:ascii="Traditional Arabic" w:hAnsi="Traditional Arabic" w:cs="Traditional Arabic"/>
          <w:color w:val="000000"/>
          <w:sz w:val="32"/>
          <w:szCs w:val="32"/>
          <w:highlight w:val="yellow"/>
          <w:shd w:val="clear" w:color="auto" w:fill="F6F6F6"/>
          <w:rtl/>
        </w:rPr>
        <w:t>ينسب كتاب "أسس الأخلاق الطبية المعاصرة" إلى</w:t>
      </w:r>
      <w:r w:rsidRPr="00471623">
        <w:rPr>
          <w:rFonts w:ascii="Traditional Arabic" w:hAnsi="Traditional Arabic" w:cs="Traditional Arabic"/>
          <w:color w:val="000000"/>
          <w:sz w:val="32"/>
          <w:szCs w:val="32"/>
          <w:highlight w:val="yellow"/>
          <w:shd w:val="clear" w:color="auto" w:fill="F6F6F6"/>
        </w:rPr>
        <w:t>: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1. 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proofErr w:type="gramStart"/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مكانيك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2</w:t>
      </w:r>
      <w:proofErr w:type="gramEnd"/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. 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proofErr w:type="spellStart"/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هيزن</w:t>
      </w:r>
      <w:proofErr w:type="spellEnd"/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lastRenderedPageBreak/>
        <w:t xml:space="preserve">3. </w:t>
      </w:r>
      <w:r w:rsidRPr="004E5D4C">
        <w:rPr>
          <w:rFonts w:ascii="Traditional Arabic" w:hAnsi="Traditional Arabic" w:cs="Traditional Arabic"/>
          <w:color w:val="FF0000"/>
          <w:sz w:val="32"/>
          <w:szCs w:val="32"/>
          <w:u w:val="single"/>
        </w:rPr>
        <w:br/>
      </w:r>
      <w:proofErr w:type="spellStart"/>
      <w:r w:rsidRPr="00471623">
        <w:rPr>
          <w:rFonts w:ascii="Traditional Arabic" w:hAnsi="Traditional Arabic" w:cs="Traditional Arabic"/>
          <w:color w:val="FF0000"/>
          <w:sz w:val="32"/>
          <w:szCs w:val="32"/>
          <w:highlight w:val="cyan"/>
          <w:u w:val="single"/>
          <w:shd w:val="clear" w:color="auto" w:fill="F6F6F6"/>
          <w:rtl/>
        </w:rPr>
        <w:t>هبيوكراتس</w:t>
      </w:r>
      <w:proofErr w:type="spellEnd"/>
      <w:r w:rsidRPr="004E5D4C">
        <w:rPr>
          <w:rFonts w:ascii="Traditional Arabic" w:hAnsi="Traditional Arabic" w:cs="Traditional Arabic"/>
          <w:color w:val="FF0000"/>
          <w:sz w:val="32"/>
          <w:szCs w:val="32"/>
          <w:u w:val="single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71623">
        <w:rPr>
          <w:rFonts w:ascii="Traditional Arabic" w:hAnsi="Traditional Arabic" w:cs="Traditional Arabic"/>
          <w:color w:val="0070C0"/>
          <w:sz w:val="32"/>
          <w:szCs w:val="32"/>
          <w:highlight w:val="yellow"/>
          <w:shd w:val="clear" w:color="auto" w:fill="F6F6F6"/>
          <w:rtl/>
        </w:rPr>
        <w:t xml:space="preserve">تؤكد دراسات </w:t>
      </w:r>
      <w:proofErr w:type="spellStart"/>
      <w:r w:rsidRPr="00471623">
        <w:rPr>
          <w:rFonts w:ascii="Traditional Arabic" w:hAnsi="Traditional Arabic" w:cs="Traditional Arabic"/>
          <w:color w:val="0070C0"/>
          <w:sz w:val="32"/>
          <w:szCs w:val="32"/>
          <w:highlight w:val="yellow"/>
          <w:shd w:val="clear" w:color="auto" w:fill="F6F6F6"/>
          <w:rtl/>
        </w:rPr>
        <w:t>بارسونز</w:t>
      </w:r>
      <w:proofErr w:type="spellEnd"/>
      <w:r w:rsidRPr="00471623">
        <w:rPr>
          <w:rFonts w:ascii="Traditional Arabic" w:hAnsi="Traditional Arabic" w:cs="Traditional Arabic"/>
          <w:color w:val="0070C0"/>
          <w:sz w:val="32"/>
          <w:szCs w:val="32"/>
          <w:highlight w:val="yellow"/>
          <w:shd w:val="clear" w:color="auto" w:fill="F6F6F6"/>
          <w:rtl/>
        </w:rPr>
        <w:t xml:space="preserve"> </w:t>
      </w:r>
      <w:proofErr w:type="spellStart"/>
      <w:r w:rsidRPr="00471623">
        <w:rPr>
          <w:rFonts w:ascii="Traditional Arabic" w:hAnsi="Traditional Arabic" w:cs="Traditional Arabic"/>
          <w:color w:val="0070C0"/>
          <w:sz w:val="32"/>
          <w:szCs w:val="32"/>
          <w:highlight w:val="yellow"/>
          <w:shd w:val="clear" w:color="auto" w:fill="F6F6F6"/>
          <w:rtl/>
        </w:rPr>
        <w:t>وفوكس</w:t>
      </w:r>
      <w:proofErr w:type="spellEnd"/>
      <w:r w:rsidRPr="00471623">
        <w:rPr>
          <w:rFonts w:ascii="Traditional Arabic" w:hAnsi="Traditional Arabic" w:cs="Traditional Arabic"/>
          <w:color w:val="0070C0"/>
          <w:sz w:val="32"/>
          <w:szCs w:val="32"/>
          <w:highlight w:val="yellow"/>
          <w:shd w:val="clear" w:color="auto" w:fill="F6F6F6"/>
          <w:rtl/>
        </w:rPr>
        <w:t xml:space="preserve"> على أن ارتفاع معدل الإصابة بالمرض يرجع إلى</w:t>
      </w:r>
      <w:r w:rsidRPr="00471623">
        <w:rPr>
          <w:rFonts w:ascii="Traditional Arabic" w:hAnsi="Traditional Arabic" w:cs="Traditional Arabic"/>
          <w:color w:val="0070C0"/>
          <w:sz w:val="32"/>
          <w:szCs w:val="32"/>
          <w:highlight w:val="yellow"/>
          <w:shd w:val="clear" w:color="auto" w:fill="F6F6F6"/>
        </w:rPr>
        <w:t>: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نعم</w:t>
      </w:r>
      <w:r w:rsidRPr="004E5D4C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4E5D4C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4E5D4C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لا</w:t>
      </w:r>
    </w:p>
    <w:sectPr w:rsidR="005A614F" w:rsidRPr="00FC2122" w:rsidSect="00EE546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FC2122"/>
    <w:rsid w:val="00471623"/>
    <w:rsid w:val="004E5D4C"/>
    <w:rsid w:val="005A614F"/>
    <w:rsid w:val="00EE5460"/>
    <w:rsid w:val="00FC2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1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C21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waleed</dc:creator>
  <cp:lastModifiedBy>waleed</cp:lastModifiedBy>
  <cp:revision>1</cp:revision>
  <dcterms:created xsi:type="dcterms:W3CDTF">2014-11-02T07:37:00Z</dcterms:created>
  <dcterms:modified xsi:type="dcterms:W3CDTF">2014-11-02T08:11:00Z</dcterms:modified>
</cp:coreProperties>
</file>