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53777" w:rsidRPr="00553777" w:rsidRDefault="00553777" w:rsidP="00553777">
      <w:pPr>
        <w:jc w:val="center"/>
        <w:rPr>
          <w:b/>
          <w:bCs/>
          <w:sz w:val="40"/>
          <w:szCs w:val="40"/>
        </w:rPr>
      </w:pPr>
      <w:r w:rsidRPr="00553777">
        <w:rPr>
          <w:b/>
          <w:bCs/>
          <w:sz w:val="40"/>
          <w:szCs w:val="40"/>
        </w:rPr>
        <w:t>Robert Browning</w:t>
      </w:r>
    </w:p>
    <w:p w:rsidR="00553777" w:rsidRPr="00553777" w:rsidRDefault="00553777" w:rsidP="00553777">
      <w:pPr>
        <w:jc w:val="center"/>
        <w:rPr>
          <w:b/>
          <w:bCs/>
        </w:rPr>
      </w:pPr>
      <w:r w:rsidRPr="00553777">
        <w:rPr>
          <w:b/>
          <w:bCs/>
        </w:rPr>
        <w:t>Analysis</w:t>
      </w:r>
    </w:p>
    <w:p w:rsidR="00553777" w:rsidRDefault="00553777" w:rsidP="00553777">
      <w:r>
        <w:t xml:space="preserve">Browning’s most important poetic message regards the new conditions of urban living. By the middle of the nineteenth century, the once-rural British population had become centered in large cities, thanks to the changes wrought by the Industrial Revolution. With so many people living in such close quarters, poverty, violence, and sex became part of everyday life. People felt fewer restrictions on their behavior, no longer facing the fear of non-acceptance that they had faced in smaller communities; people could act in total anonymity, without any monitoring by acquaintances or small-town busybodies. However, while the absence of family and community ties meant new-found personal independence, it also meant the loss of a social safety net. Thus for many city-dwellers, a sense of freedom mixed with a sense of insecurity. The mid-nineteenth century also saw the rapid growth of newspapers, which functioned not as the current-events journals of today but as scandal sheets, filled with stories of violence and carnality. Hurrying pedestrians, bustling shops, and brand-new goods filled the streets, and individuals had to take in millions of separate perceptions a minute. The resulting overstimulation led, according to many theorists, to a sort of numbness. Many writers now felt that in order to provoke an emotional reaction they had to compete with the </w:t>
      </w:r>
      <w:proofErr w:type="spellStart"/>
      <w:r>
        <w:t>turmoils</w:t>
      </w:r>
      <w:proofErr w:type="spellEnd"/>
      <w:r>
        <w:t xml:space="preserve"> and excitements of everyday </w:t>
      </w:r>
      <w:proofErr w:type="gramStart"/>
      <w:r>
        <w:t>life,</w:t>
      </w:r>
      <w:proofErr w:type="gramEnd"/>
      <w:r>
        <w:t xml:space="preserve"> had to shock their audience in ever more novel and sensational ways. Thus violence became a sort of aesthetic choice for many writers, among them Robert Browning. In many of his poems, violence, along with sex, becomes the symbol of the modern urban-dwelling condition. Many of Browning’s more disturbing poems, including “Porphyria’s Lover” and “My Last Duchess,” reflect this notion.</w:t>
      </w:r>
    </w:p>
    <w:p w:rsidR="00553777" w:rsidRDefault="00553777" w:rsidP="00553777">
      <w:r>
        <w:t xml:space="preserve">This apparent moral decay of Victorian society, coupled with an ebbing of interest in religion, led to a morally conservative backlash. So-called Victorian prudery arose as an attempt to rein in something that was seen as out- of-control, an attempt to bring things back to the way they once were. Thus everything came under moral scrutiny, even art and literature. Many of Browning’s poems, which often feature painters and other artists, try to work out the proper relationship between art and morality: Should art have a moral message? Can art be immoral? Are aesthetics and ethics inherently contradictory aims? These are all questions with which Browning’s poetry struggles. The new findings of science, most notably evolution, posed further challenges to traditional religious ideas, suggesting that empiricism—the careful recording of </w:t>
      </w:r>
      <w:proofErr w:type="gramStart"/>
      <w:r>
        <w:t>observable</w:t>
      </w:r>
      <w:proofErr w:type="gramEnd"/>
      <w:r>
        <w:t xml:space="preserve"> details—could serve as a more relevant basis for human endeavor, whether intellectual or artistic.</w:t>
      </w:r>
    </w:p>
    <w:p w:rsidR="00553777" w:rsidRDefault="00553777" w:rsidP="00553777">
      <w:r>
        <w:t xml:space="preserve">In exploring these issues of art and modernity, Browning uses the dramatic monologue. A dramatic monologue, to paraphrase M.H. Abrams, is a poem with a speaker who is clearly separate from the poet, who speaks to an implied audience that, while silent, remains clearly present in the scene. (This implied audience distinguishes the dramatic monologue from the soliloquy—a form also used by Browning—in which the speaker does not address any specific </w:t>
      </w:r>
      <w:r>
        <w:lastRenderedPageBreak/>
        <w:t>listener, rather musing aloud to him or herself). The purpose of the monologue (and the soliloquy) is not so much to make a statement about its declared subject matter, but to develop the character of the speaker. For Browning, the genre provides a sort of play-space and an alternative persona with which he can explore sometimes controversial ideas. He often further distances himself by employing historical characters, particularly from the Italian Renaissance. During the Renaissance in Italy art assumed a new humanism and began to separate from religion; concentrations of social power reached an extreme. Thus this temporal setting gives Browning a good analogue for exploring issues of art and morality and for looking at the ways in which social power could be used (and misused: the Victorian period saw many moral pundits assume positions of social importance). Additionally, the monologue form allows Browning to explore forms of consciousness and self-representation. This aspect of the monologue underwent further development in the hands of some of Browning’s successors, among them Alfred Tennyson and T.S. Eliot.</w:t>
      </w:r>
    </w:p>
    <w:p w:rsidR="00553777" w:rsidRDefault="00553777" w:rsidP="00553777">
      <w:r>
        <w:t>Browning devotes much attention not only to creating a strong sense of character, but also to developing a high level of historic specificity and general detail. These concerns reflected Victorian society’s new emphasis on empiricism, and pointed the way towards the kind of intellectual verse that was to be written by the poets of high Modernism, like Eliot and Ezra Pound. In its scholarly detail and its connection to the past Browning’s work also implicitly considers the relationship of modern poets to a greater literary tradition. At least two of Browning’s finest dramatic monologues take their inspiration from moments in Shakespeare’s plays, and other poems consider the matter of one’s posterity and potential immortality as an artist. Because society had been changing so rapidly, Browning and his contemporaries could not be certain that the works of canonical artists like Shakespeare and Michelangelo would continue to have relevance in the emerging new world. Thus these writers worried over their own legacy as well. However, Browning’s poetry has lasted—perhaps precisely because of its very topical nature: its active engagement with the debates of its times, and the intelligent strategies with which it handles such era-specific material</w:t>
      </w:r>
    </w:p>
    <w:p w:rsidR="00553777" w:rsidRDefault="00553777" w:rsidP="00553777">
      <w:pPr>
        <w:jc w:val="center"/>
      </w:pPr>
    </w:p>
    <w:p w:rsidR="00553777" w:rsidRPr="00553777" w:rsidRDefault="00553777" w:rsidP="00553777">
      <w:pPr>
        <w:jc w:val="center"/>
        <w:rPr>
          <w:b/>
          <w:bCs/>
        </w:rPr>
      </w:pPr>
      <w:r w:rsidRPr="00553777">
        <w:rPr>
          <w:b/>
          <w:bCs/>
        </w:rPr>
        <w:t>Themes, Motifs and Symbols</w:t>
      </w:r>
    </w:p>
    <w:p w:rsidR="00553777" w:rsidRPr="00553777" w:rsidRDefault="00553777" w:rsidP="00553777">
      <w:pPr>
        <w:rPr>
          <w:b/>
          <w:bCs/>
        </w:rPr>
      </w:pPr>
      <w:r w:rsidRPr="00553777">
        <w:rPr>
          <w:b/>
          <w:bCs/>
        </w:rPr>
        <w:t>Themes</w:t>
      </w:r>
    </w:p>
    <w:p w:rsidR="00553777" w:rsidRPr="00553777" w:rsidRDefault="00553777" w:rsidP="00553777">
      <w:pPr>
        <w:rPr>
          <w:b/>
          <w:bCs/>
        </w:rPr>
      </w:pPr>
      <w:r w:rsidRPr="00553777">
        <w:rPr>
          <w:b/>
          <w:bCs/>
        </w:rPr>
        <w:t>Multiple Perspectives on Single Events</w:t>
      </w:r>
    </w:p>
    <w:p w:rsidR="00553777" w:rsidRDefault="00553777" w:rsidP="00553777">
      <w:r>
        <w:t xml:space="preserve">The dramatic monologue verse form allowed Browning to explore and probe the minds of specific characters in specific places struggling with specific sets of circumstances. In The Ring and the Book, Browning tells a suspenseful story of murder using multiple voices, which give multiple perspectives and multiple versions of the same story. Dramatic monologues allow readers to enter into the minds of various characters and to see an event from that character’s perspective. Understanding the thoughts, feelings, and motivations of a character not only gives </w:t>
      </w:r>
      <w:r>
        <w:lastRenderedPageBreak/>
        <w:t xml:space="preserve">readers a sense of sympathy for the characters but also helps readers understand the multiplicity of perspectives that make up the truth. In effect, Browning’s work reminds readers that the nature of truth or reality fluctuates, depending on one’s perspective or view of the situation. Multiple perspectives illustrate the idea that no one sensibility or perspective sees the whole story and no two people see the same events in the same way. Browning further illustrated this idea by writing poems that work together as companion pieces, such as “Fra </w:t>
      </w:r>
      <w:proofErr w:type="spellStart"/>
      <w:r>
        <w:t>Lippo</w:t>
      </w:r>
      <w:proofErr w:type="spellEnd"/>
      <w:r>
        <w:t xml:space="preserve"> Lippi” and “Andrea </w:t>
      </w:r>
      <w:proofErr w:type="gramStart"/>
      <w:r>
        <w:t>del</w:t>
      </w:r>
      <w:proofErr w:type="gramEnd"/>
      <w:r>
        <w:t xml:space="preserve"> </w:t>
      </w:r>
      <w:proofErr w:type="spellStart"/>
      <w:r>
        <w:t>Sarto</w:t>
      </w:r>
      <w:proofErr w:type="spellEnd"/>
      <w:r>
        <w:t>.” Poems such as these show how people with different characters respond differently to similar situations, as well as depict how a time, place, and scenario can cause people with similar personalities to develop or change quite dramatically.</w:t>
      </w:r>
    </w:p>
    <w:p w:rsidR="00553777" w:rsidRPr="00553777" w:rsidRDefault="00553777" w:rsidP="00553777">
      <w:pPr>
        <w:rPr>
          <w:b/>
          <w:bCs/>
        </w:rPr>
      </w:pPr>
      <w:r w:rsidRPr="00553777">
        <w:rPr>
          <w:b/>
          <w:bCs/>
        </w:rPr>
        <w:t>The Purposes of Art</w:t>
      </w:r>
    </w:p>
    <w:p w:rsidR="00553777" w:rsidRDefault="00553777" w:rsidP="00553777">
      <w:r>
        <w:t>Browning wrote many poems about artists and poets, including such dramatic monologues as “</w:t>
      </w:r>
      <w:proofErr w:type="spellStart"/>
      <w:r>
        <w:t>Pictor</w:t>
      </w:r>
      <w:proofErr w:type="spellEnd"/>
      <w:r>
        <w:t xml:space="preserve"> </w:t>
      </w:r>
      <w:proofErr w:type="spellStart"/>
      <w:r>
        <w:t>Ignotus</w:t>
      </w:r>
      <w:proofErr w:type="spellEnd"/>
      <w:r>
        <w:t xml:space="preserve">” (1855) and “Fra </w:t>
      </w:r>
      <w:proofErr w:type="spellStart"/>
      <w:r>
        <w:t>Lippo</w:t>
      </w:r>
      <w:proofErr w:type="spellEnd"/>
      <w:r>
        <w:t xml:space="preserve"> Lippi.” Frequently, Browning would begin by thinking about an artist, an artwork, or a type of art that he admired or disliked. Then he would speculate on the character or artistic philosophy that would lead to such a success or failure. His dramatic monologues about artists attempt to capture some of this philosophizing because his characters speculate on the purposes of art. For instance, the speaker of “Fra </w:t>
      </w:r>
      <w:proofErr w:type="spellStart"/>
      <w:r>
        <w:t>Lippo</w:t>
      </w:r>
      <w:proofErr w:type="spellEnd"/>
      <w:r>
        <w:t xml:space="preserve"> Lippi” proposes that art heightens our powers of observation and helps us notice things about our own lives. According to some of these characters and poems, painting idealizes the beauty found in the real world, such as the radiance of a beloved’s smile. Sculpture and architecture can memorialize famous or important people, as in “The Bishop Orders His Tomb at Saint </w:t>
      </w:r>
      <w:proofErr w:type="spellStart"/>
      <w:r>
        <w:t>Praxed’s</w:t>
      </w:r>
      <w:proofErr w:type="spellEnd"/>
      <w:r>
        <w:t xml:space="preserve"> Church” (1845) and “The Statue and the Bust” (1855). But art also helps its creators to make a living, and it thus has a purpose as pecuniary as creative, an idea explored in “Andrea </w:t>
      </w:r>
      <w:proofErr w:type="gramStart"/>
      <w:r>
        <w:t>del</w:t>
      </w:r>
      <w:proofErr w:type="gramEnd"/>
      <w:r>
        <w:t xml:space="preserve"> </w:t>
      </w:r>
      <w:proofErr w:type="spellStart"/>
      <w:r>
        <w:t>Sarto</w:t>
      </w:r>
      <w:proofErr w:type="spellEnd"/>
      <w:r>
        <w:t>.”</w:t>
      </w:r>
    </w:p>
    <w:p w:rsidR="00553777" w:rsidRPr="00553777" w:rsidRDefault="00553777" w:rsidP="00553777">
      <w:pPr>
        <w:rPr>
          <w:b/>
          <w:bCs/>
        </w:rPr>
      </w:pPr>
      <w:r w:rsidRPr="00553777">
        <w:rPr>
          <w:b/>
          <w:bCs/>
        </w:rPr>
        <w:t xml:space="preserve">The Relationship </w:t>
      </w:r>
      <w:proofErr w:type="gramStart"/>
      <w:r w:rsidRPr="00553777">
        <w:rPr>
          <w:b/>
          <w:bCs/>
        </w:rPr>
        <w:t>Between</w:t>
      </w:r>
      <w:proofErr w:type="gramEnd"/>
      <w:r w:rsidRPr="00553777">
        <w:rPr>
          <w:b/>
          <w:bCs/>
        </w:rPr>
        <w:t xml:space="preserve"> Art and Morality</w:t>
      </w:r>
    </w:p>
    <w:p w:rsidR="00553777" w:rsidRDefault="00553777" w:rsidP="00553777">
      <w:r>
        <w:t>Throughout his work, Browning tried to answer questions about an artist’s responsibilities and to describe the relationship between art and morality. He questioned whether artists had an obligation to be moral and whether artists should pass judgment on their characters and creations. Unlike many of his contemporaries, Browning populated his poems with evil people, who commit crimes and sins ranging from hatred to murder. The dramatic monologue format allowed Browning to maintain a great distance between himself and his creations: by channeling the voice of a character, Browning could explore evil without actually being evil himself. His characters served as personae that let him adopt different traits and tell stories about horrible situations. In “My Last Duchess,” the speaker gets away with his wife’s murder since neither his audience (in the poem) nor his creator judges or criticizes him. Instead, the responsibility of judging the character’s morality is left to readers, who find the duke of Ferrara a vicious, repugnant person even as he takes us on a tour of his art gallery.</w:t>
      </w:r>
    </w:p>
    <w:p w:rsidR="00553777" w:rsidRPr="00553777" w:rsidRDefault="00553777" w:rsidP="00553777">
      <w:pPr>
        <w:rPr>
          <w:b/>
          <w:bCs/>
        </w:rPr>
      </w:pPr>
      <w:r w:rsidRPr="00553777">
        <w:rPr>
          <w:b/>
          <w:bCs/>
        </w:rPr>
        <w:t>Motifs</w:t>
      </w:r>
    </w:p>
    <w:p w:rsidR="00553777" w:rsidRPr="00553777" w:rsidRDefault="00553777" w:rsidP="00553777">
      <w:pPr>
        <w:rPr>
          <w:b/>
          <w:bCs/>
        </w:rPr>
      </w:pPr>
      <w:r w:rsidRPr="00553777">
        <w:rPr>
          <w:b/>
          <w:bCs/>
        </w:rPr>
        <w:t>Medieval and Renaissance European Settings</w:t>
      </w:r>
    </w:p>
    <w:p w:rsidR="00553777" w:rsidRDefault="00553777" w:rsidP="00553777">
      <w:r>
        <w:lastRenderedPageBreak/>
        <w:t xml:space="preserve">Browning set many of his poems in medieval and Renaissance Europe, most often in Italy. He drew on his extensive knowledge of art, architecture, and history to fictionalize actual events, including a seventeenth-century murder in The Ring and the Book, and to channel the voices of actual historical figures, including a biblical scholar in medieval Spain in “Rabbi Ben Ezra” (1864) and the Renaissance painter in the eponymous “Andrea </w:t>
      </w:r>
      <w:proofErr w:type="gramStart"/>
      <w:r>
        <w:t>del</w:t>
      </w:r>
      <w:proofErr w:type="gramEnd"/>
      <w:r>
        <w:t xml:space="preserve"> </w:t>
      </w:r>
      <w:proofErr w:type="spellStart"/>
      <w:r>
        <w:t>Sarto</w:t>
      </w:r>
      <w:proofErr w:type="spellEnd"/>
      <w:r>
        <w:t xml:space="preserve">.” The remoteness of the time period and location allowed Browning to critique and explore contemporary issues without fear of alienating his readers. Directly invoking contemporary issues might seem didactic and moralizing in a way that poems set in the thirteenth, fourteenth, and fifteenth centuries would not. For instance, the speaker of “The Bishop Orders His Tomb at Saint </w:t>
      </w:r>
      <w:proofErr w:type="spellStart"/>
      <w:r>
        <w:t>Praxed’s</w:t>
      </w:r>
      <w:proofErr w:type="spellEnd"/>
      <w:r>
        <w:t xml:space="preserve"> Church” is an Italian bishop during the late Renaissance. Through the speaker’s pompous, vain musings about monuments, Browning indirectly criticizes organized religion, including the Church of England, which was in a state of disarray at the time of the poem’s composition in the mid-nineteenth century.</w:t>
      </w:r>
    </w:p>
    <w:p w:rsidR="00553777" w:rsidRPr="00553777" w:rsidRDefault="00553777" w:rsidP="00553777">
      <w:pPr>
        <w:rPr>
          <w:b/>
          <w:bCs/>
        </w:rPr>
      </w:pPr>
      <w:r w:rsidRPr="00553777">
        <w:rPr>
          <w:b/>
          <w:bCs/>
        </w:rPr>
        <w:t>Psychological Portraits</w:t>
      </w:r>
    </w:p>
    <w:p w:rsidR="00553777" w:rsidRPr="00553777" w:rsidRDefault="00553777" w:rsidP="00553777">
      <w:r>
        <w:t>Dramatic monologues feature a solitary speaker addressing at least one silent, usually unnamed person, and they provide interesting snapshots of the speakers and their personalities. Unlike soliloquies, in dramatic monologues the characters are always speaking directly to listeners. Browning’s characters are usually crafty, intelligent, argumentative, and capable of lying. Indeed, they often leave out more of a story than they actually tell. In order to fully understand the speakers and their psychologies, readers must carefully pay attention to word choice, to logical progression, and to the use of figures of speech, including any metaphors or analogies. For instance, the speaker of “My Last Duchess” essentially confesses to murdering his wife, even though he never expresses his guilt outright. Similarly, the speaker of “Soliloquy of the Spanish Cloister” inadvertently betrays his madness by confusing Latin prayers and by expressing his hate for a fellow friar with such vituperation and passion. Rather than state the speaker’s madness, Browning conveys it through both what the speaker says and how the speaker speaks.</w:t>
      </w:r>
    </w:p>
    <w:p w:rsidR="00553777" w:rsidRPr="00553777" w:rsidRDefault="00553777" w:rsidP="00553777">
      <w:pPr>
        <w:rPr>
          <w:b/>
          <w:bCs/>
        </w:rPr>
      </w:pPr>
      <w:r w:rsidRPr="00553777">
        <w:rPr>
          <w:b/>
          <w:bCs/>
        </w:rPr>
        <w:t>Grotesque Images</w:t>
      </w:r>
    </w:p>
    <w:p w:rsidR="00553777" w:rsidRDefault="00553777" w:rsidP="00553777">
      <w:r>
        <w:t xml:space="preserve">Unlike other Victorian poets, Browning filled his poetry with images of ugliness, violence, and the bizarre. His contemporaries, such as Alfred, Lord Tennyson, and Gerard Manley Hopkins, in contrast, mined the natural world for lovely images of beauty. Browning’s use of the grotesque links him to novelist Charles Dickens, who filled his fiction with people from all strata of society, including the aristocracy and the very poor. Like Dickens, Browning created characters </w:t>
      </w:r>
      <w:proofErr w:type="gramStart"/>
      <w:r>
        <w:t>who</w:t>
      </w:r>
      <w:proofErr w:type="gramEnd"/>
      <w:r>
        <w:t xml:space="preserve"> were capable of great evil. The early poem “Porphyria’s Lover” (1836) begins with the lover describing the arrival of Porphyria, then it quickly descends into a depiction of her murder at his hands. To make the image even more grotesque, the speaker strangles Porphyria with her own blond hair. Although “Fra </w:t>
      </w:r>
      <w:proofErr w:type="spellStart"/>
      <w:r>
        <w:t>Lippo</w:t>
      </w:r>
      <w:proofErr w:type="spellEnd"/>
      <w:r>
        <w:t xml:space="preserve"> Lippi” takes place during the Renaissance in Florence, at the height of its wealth and power, Browning sets the poem in a back alley beside a brothel, not in a palace or a garden. Browning was instrumental in helping readers and writers understand that poetry as an art form could handle subjects both lofty, such as religious splendor and idealized </w:t>
      </w:r>
      <w:proofErr w:type="gramStart"/>
      <w:r>
        <w:lastRenderedPageBreak/>
        <w:t>passion</w:t>
      </w:r>
      <w:proofErr w:type="gramEnd"/>
      <w:r>
        <w:t>, and base, such as murder, hatred, and madness, subjects that had previously only been explored in novels.</w:t>
      </w:r>
    </w:p>
    <w:p w:rsidR="00553777" w:rsidRPr="00553777" w:rsidRDefault="00553777" w:rsidP="00553777">
      <w:pPr>
        <w:rPr>
          <w:b/>
          <w:bCs/>
        </w:rPr>
      </w:pPr>
      <w:r w:rsidRPr="00553777">
        <w:rPr>
          <w:b/>
          <w:bCs/>
        </w:rPr>
        <w:t>Symbols</w:t>
      </w:r>
    </w:p>
    <w:p w:rsidR="00553777" w:rsidRPr="00553777" w:rsidRDefault="00553777" w:rsidP="00553777">
      <w:pPr>
        <w:rPr>
          <w:b/>
          <w:bCs/>
        </w:rPr>
      </w:pPr>
      <w:r w:rsidRPr="00553777">
        <w:rPr>
          <w:b/>
          <w:bCs/>
        </w:rPr>
        <w:t>Taste</w:t>
      </w:r>
    </w:p>
    <w:p w:rsidR="00553777" w:rsidRDefault="00553777" w:rsidP="00553777">
      <w:r>
        <w:t xml:space="preserve">Browning’s interest in culture, including art and architecture, appears throughout his work in depictions of his characters’ aesthetic tastes. His characters’ preferences in art, music, and literature reveal important clues about their natures and moral worth. For instance, the duke of Ferrara, the speaker of “My Last Duchess,” concludes the poem by pointing out a statue he commissioned of Neptune taming a sea monster. The duke’s preference for this sculpture directly corresponds to the type of man he is—that is, the type of man who would have his wife killed but still stare lovingly and longingly at her portrait. Like Neptune, the duke wants to subdue and command all aspects of life, including his wife. Characters also express their tastes by the manner in which they describe art, people, or landscapes. Andrea </w:t>
      </w:r>
      <w:proofErr w:type="gramStart"/>
      <w:r>
        <w:t>del</w:t>
      </w:r>
      <w:proofErr w:type="gramEnd"/>
      <w:r>
        <w:t xml:space="preserve"> </w:t>
      </w:r>
      <w:proofErr w:type="spellStart"/>
      <w:r>
        <w:t>Sarto</w:t>
      </w:r>
      <w:proofErr w:type="spellEnd"/>
      <w:r>
        <w:t xml:space="preserve">, the Renaissance artist who speaks the poem “Andrea del </w:t>
      </w:r>
      <w:proofErr w:type="spellStart"/>
      <w:r>
        <w:t>Sarto</w:t>
      </w:r>
      <w:proofErr w:type="spellEnd"/>
      <w:r>
        <w:t>,” repeatedly uses the adjectives gold and silver in his descriptions of paintings. His choice of words reinforces one of the major themes of the poem: the way he sold himself out. Listening to his monologue, we learn that he now makes commercial paintings to earn a commission, but he no longer creates what he considers to be real art. His desire for money has affected his aesthetic judgment, causing him to use monetary vocabulary to describe art objects.</w:t>
      </w:r>
    </w:p>
    <w:p w:rsidR="00553777" w:rsidRPr="00553777" w:rsidRDefault="00553777" w:rsidP="00553777">
      <w:pPr>
        <w:rPr>
          <w:b/>
          <w:bCs/>
        </w:rPr>
      </w:pPr>
      <w:r w:rsidRPr="00553777">
        <w:rPr>
          <w:b/>
          <w:bCs/>
        </w:rPr>
        <w:t>Evil and Violence</w:t>
      </w:r>
    </w:p>
    <w:p w:rsidR="00553777" w:rsidRDefault="00553777" w:rsidP="00553777">
      <w:r>
        <w:t>Synonyms for, images of, and symbols of evil and violence abound in Browning’s poetry. “Soliloquy of the Spanish Cloister,” for example, begins with the speaker trying to articulate the sounds of his “heart’s abhorrence” (1) for a fellow friar. Later in the poem, the speaker invokes images of evil pirates and a man being banished to hell. The diction and images used by the speakers expresses their evil thoughts, as well as indicate their evil natures. “Childe Roland to the Dark Tower Came” (1855) portrays a nightmarish world of dead horses and war-torn landscapes. Yet another example of evil and violence comes in “Porphyria’s Lover,” in which the speaker sits contentedly alongside the corpse of Porphyria, whom he murdered by strangling her with her hair. Symbols of evil and violence allowed Browning to explore all aspects of human psychology, including the base and evil aspects that</w:t>
      </w:r>
      <w:r>
        <w:t xml:space="preserve"> don’t normally appear in </w:t>
      </w:r>
      <w:proofErr w:type="spellStart"/>
      <w:r>
        <w:t>poetr</w:t>
      </w:r>
      <w:proofErr w:type="spellEnd"/>
    </w:p>
    <w:p w:rsidR="00553777" w:rsidRDefault="00553777" w:rsidP="00553777"/>
    <w:p w:rsidR="00553777" w:rsidRDefault="00553777" w:rsidP="00553777"/>
    <w:p w:rsidR="00553777" w:rsidRDefault="00553777" w:rsidP="00553777"/>
    <w:p w:rsidR="00553777" w:rsidRDefault="00553777" w:rsidP="00553777"/>
    <w:p w:rsidR="00553777" w:rsidRPr="00553777" w:rsidRDefault="00553777" w:rsidP="00553777">
      <w:pPr>
        <w:jc w:val="center"/>
        <w:rPr>
          <w:b/>
          <w:bCs/>
          <w:sz w:val="32"/>
          <w:szCs w:val="32"/>
        </w:rPr>
      </w:pPr>
      <w:bookmarkStart w:id="0" w:name="_GoBack"/>
      <w:r w:rsidRPr="00553777">
        <w:rPr>
          <w:b/>
          <w:bCs/>
          <w:sz w:val="32"/>
          <w:szCs w:val="32"/>
        </w:rPr>
        <w:lastRenderedPageBreak/>
        <w:t>“Memorabilia”</w:t>
      </w:r>
    </w:p>
    <w:bookmarkEnd w:id="0"/>
    <w:p w:rsidR="00553777" w:rsidRPr="00553777" w:rsidRDefault="00553777" w:rsidP="00553777">
      <w:pPr>
        <w:rPr>
          <w:b/>
          <w:bCs/>
        </w:rPr>
      </w:pPr>
      <w:r w:rsidRPr="00553777">
        <w:rPr>
          <w:b/>
          <w:bCs/>
        </w:rPr>
        <w:t>Complete Text</w:t>
      </w:r>
    </w:p>
    <w:p w:rsidR="00553777" w:rsidRDefault="00553777" w:rsidP="00553777">
      <w:r>
        <w:t xml:space="preserve">Ah, did you once see Shelley plain, </w:t>
      </w:r>
    </w:p>
    <w:p w:rsidR="00553777" w:rsidRDefault="00553777" w:rsidP="00553777">
      <w:r>
        <w:t xml:space="preserve">   And did he stop and speak to you? </w:t>
      </w:r>
    </w:p>
    <w:p w:rsidR="00553777" w:rsidRDefault="00553777" w:rsidP="00553777">
      <w:r>
        <w:t xml:space="preserve">And did you speak to him again? </w:t>
      </w:r>
    </w:p>
    <w:p w:rsidR="00553777" w:rsidRDefault="00553777" w:rsidP="00553777">
      <w:r>
        <w:t xml:space="preserve">   How strange it seems, and new! </w:t>
      </w:r>
    </w:p>
    <w:p w:rsidR="00553777" w:rsidRDefault="00553777" w:rsidP="00553777"/>
    <w:p w:rsidR="00553777" w:rsidRDefault="00553777" w:rsidP="00553777">
      <w:r>
        <w:t xml:space="preserve">But you were living before that, </w:t>
      </w:r>
    </w:p>
    <w:p w:rsidR="00553777" w:rsidRDefault="00553777" w:rsidP="00553777">
      <w:r>
        <w:t xml:space="preserve">   And you are living after,</w:t>
      </w:r>
    </w:p>
    <w:p w:rsidR="00553777" w:rsidRDefault="00553777" w:rsidP="00553777">
      <w:r>
        <w:t xml:space="preserve">And the memory I started at— </w:t>
      </w:r>
    </w:p>
    <w:p w:rsidR="00553777" w:rsidRDefault="00553777" w:rsidP="00553777">
      <w:r>
        <w:t xml:space="preserve">   My starting moves your laughter! </w:t>
      </w:r>
    </w:p>
    <w:p w:rsidR="00553777" w:rsidRDefault="00553777" w:rsidP="00553777"/>
    <w:p w:rsidR="00553777" w:rsidRDefault="00553777" w:rsidP="00553777">
      <w:r>
        <w:t xml:space="preserve">I crossed a moor, with a name of its own </w:t>
      </w:r>
    </w:p>
    <w:p w:rsidR="00553777" w:rsidRDefault="00553777" w:rsidP="00553777">
      <w:r>
        <w:t xml:space="preserve">   And a certain use in the world no doubt, </w:t>
      </w:r>
    </w:p>
    <w:p w:rsidR="00553777" w:rsidRDefault="00553777" w:rsidP="00553777">
      <w:r>
        <w:t xml:space="preserve">Yet a hand’s-breadth of it shines alone </w:t>
      </w:r>
    </w:p>
    <w:p w:rsidR="00553777" w:rsidRDefault="00553777" w:rsidP="00553777">
      <w:r>
        <w:t xml:space="preserve">   ’Mid the blank miles round about: </w:t>
      </w:r>
    </w:p>
    <w:p w:rsidR="00553777" w:rsidRDefault="00553777" w:rsidP="00553777"/>
    <w:p w:rsidR="00553777" w:rsidRDefault="00553777" w:rsidP="00553777">
      <w:r>
        <w:t xml:space="preserve">For there I picked up on the heather </w:t>
      </w:r>
    </w:p>
    <w:p w:rsidR="00553777" w:rsidRDefault="00553777" w:rsidP="00553777">
      <w:r>
        <w:t xml:space="preserve">   And there I put inside my breast </w:t>
      </w:r>
    </w:p>
    <w:p w:rsidR="00553777" w:rsidRDefault="00553777" w:rsidP="00553777">
      <w:r>
        <w:t xml:space="preserve">A </w:t>
      </w:r>
      <w:proofErr w:type="spellStart"/>
      <w:r>
        <w:t>moulted</w:t>
      </w:r>
      <w:proofErr w:type="spellEnd"/>
      <w:r>
        <w:t xml:space="preserve"> feather, an eagle-feather— </w:t>
      </w:r>
    </w:p>
    <w:p w:rsidR="00553777" w:rsidRDefault="00553777" w:rsidP="00553777">
      <w:r>
        <w:t xml:space="preserve">   Well, I forget the rest.</w:t>
      </w:r>
    </w:p>
    <w:p w:rsidR="00553777" w:rsidRPr="00553777" w:rsidRDefault="00553777" w:rsidP="00553777">
      <w:pPr>
        <w:rPr>
          <w:b/>
          <w:bCs/>
        </w:rPr>
      </w:pPr>
      <w:r w:rsidRPr="00553777">
        <w:rPr>
          <w:b/>
          <w:bCs/>
        </w:rPr>
        <w:t>Summary</w:t>
      </w:r>
    </w:p>
    <w:p w:rsidR="00553777" w:rsidRDefault="00553777" w:rsidP="00553777">
      <w:r>
        <w:t xml:space="preserve">According to historical anecdote, this poem stems from an encounter Browning had with a person who had once met the poet Percy Bysshe Shelley (Shelley died quite young, when Browning himself was only ten). Browning reacted with awe when the man described his meeting with the famed poet, and the man is said to have laughed at him for this reaction. This </w:t>
      </w:r>
      <w:r>
        <w:lastRenderedPageBreak/>
        <w:t>short lyric relates Browning’s feelings about this encounter to his feelings at walking across a moor and finding an eagle’s feather.</w:t>
      </w:r>
    </w:p>
    <w:p w:rsidR="00553777" w:rsidRPr="00553777" w:rsidRDefault="00553777" w:rsidP="00553777">
      <w:pPr>
        <w:rPr>
          <w:b/>
          <w:bCs/>
        </w:rPr>
      </w:pPr>
      <w:r w:rsidRPr="00553777">
        <w:rPr>
          <w:b/>
          <w:bCs/>
        </w:rPr>
        <w:t>Form</w:t>
      </w:r>
    </w:p>
    <w:p w:rsidR="00553777" w:rsidRDefault="00553777" w:rsidP="00553777">
      <w:r>
        <w:t xml:space="preserve">“Memorabilia” consists of four four-line stanzas, written in iambic tetrameter. The stanzas rhyme ABAB. The form appears frequently in William Wordsworth’s lyrics, and this poem does have an almost </w:t>
      </w:r>
      <w:proofErr w:type="spellStart"/>
      <w:r>
        <w:t>Wordsworthian</w:t>
      </w:r>
      <w:proofErr w:type="spellEnd"/>
      <w:r>
        <w:t xml:space="preserve"> outlook: it is contemplative and spiritual, and parallels the natural world to the human one.</w:t>
      </w:r>
    </w:p>
    <w:p w:rsidR="00553777" w:rsidRPr="00553777" w:rsidRDefault="00553777" w:rsidP="00553777">
      <w:pPr>
        <w:rPr>
          <w:b/>
          <w:bCs/>
        </w:rPr>
      </w:pPr>
      <w:r w:rsidRPr="00553777">
        <w:rPr>
          <w:b/>
          <w:bCs/>
        </w:rPr>
        <w:t>Commentary</w:t>
      </w:r>
    </w:p>
    <w:p w:rsidR="00553777" w:rsidRDefault="00553777" w:rsidP="00553777">
      <w:r>
        <w:t xml:space="preserve">The title of this poem suggests a kind of memory that is linked with physical objects. Browning’s encounter with the man who has met Shelley takes its importance from the fact that this man was once physically with Shelley and is now physically with Browning. This second-degree encounter with the great poet, now dead, corresponds metaphorically to the second-degree encounter with the eagle, now flown away having left only a feather; but the encounters also correspond physically, in that the physical object of the feather triggers the thought of the human encounter. This suggests a much more mundane and direct concept of natural reality and memory than that postulated by the Romantics (to whom Shelley belonged). Neither the encounter with the feather (nature) nor the </w:t>
      </w:r>
      <w:proofErr w:type="gramStart"/>
      <w:r>
        <w:t>memory of Shelley result</w:t>
      </w:r>
      <w:proofErr w:type="gramEnd"/>
      <w:r>
        <w:t xml:space="preserve"> in rapture or epiphany in Browning’s poem (as they do in Romantic lyrics); rather, they imply a sense of loss and distance, of separation.</w:t>
      </w:r>
    </w:p>
    <w:p w:rsidR="00553777" w:rsidRDefault="00553777" w:rsidP="00553777">
      <w:r>
        <w:t>Indeed, not only does memory fail to lead to rapture, it has very little evocative power at all: Browning does not remember the rest of his walk on the moor beyond the finding of the feather. Moreover, Browning places little faith here in the life of the mind, the ability of analysis: he finds himself unable to elaborate more on the relationship between the feather and the man who met Shelley. Yet somehow this world of mundane physical objects and faint mental suggestions can provide as much material for poetry as the wild spiritual inspirations of Shelley’s “West Wind” or Wordsworth’s daffodils.</w:t>
      </w:r>
    </w:p>
    <w:p w:rsidR="00553777" w:rsidRDefault="00553777" w:rsidP="00553777"/>
    <w:sectPr w:rsidR="00553777" w:rsidSect="00553777">
      <w:pgSz w:w="12240" w:h="15840"/>
      <w:pgMar w:top="156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3777"/>
    <w:rsid w:val="00553777"/>
    <w:rsid w:val="00A403C7"/>
    <w:rsid w:val="00C46BB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TotalTime>
  <Pages>1</Pages>
  <Words>2727</Words>
  <Characters>15546</Characters>
  <Application>Microsoft Office Word</Application>
  <DocSecurity>0</DocSecurity>
  <Lines>129</Lines>
  <Paragraphs>36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18237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2</cp:revision>
  <cp:lastPrinted>2012-03-16T07:25:00Z</cp:lastPrinted>
  <dcterms:created xsi:type="dcterms:W3CDTF">2012-03-16T07:10:00Z</dcterms:created>
  <dcterms:modified xsi:type="dcterms:W3CDTF">2012-03-16T07:53:00Z</dcterms:modified>
</cp:coreProperties>
</file>