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FF0000"/>
          <w:sz w:val="40"/>
          <w:szCs w:val="40"/>
          <w:u w:val="thick" w:color="23667E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FF0000"/>
          <w:sz w:val="40"/>
          <w:szCs w:val="40"/>
          <w:u w:val="thick" w:color="23667E"/>
          <w:rFonts w:ascii="Times New Roman" w:eastAsia="Times New Roman" w:hAnsi="Times New Roman" w:hint="default"/>
        </w:rPr>
        <w:t>محاضرة8</w:t>
      </w: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FF0000"/>
          <w:sz w:val="40"/>
          <w:szCs w:val="40"/>
          <w:u w:val="thick" w:color="23667E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FF0000"/>
          <w:sz w:val="40"/>
          <w:szCs w:val="40"/>
          <w:u w:val="thick" w:color="23667E"/>
          <w:rFonts w:ascii="Times New Roman" w:eastAsia="Times New Roman" w:hAnsi="Times New Roman" w:hint="default"/>
        </w:rPr>
        <w:t xml:space="preserve">شرح قصيدة</w:t>
      </w: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i/>
          <w:b w:val="1"/>
          <w:color w:val="FF0000"/>
          <w:sz w:val="40"/>
          <w:szCs w:val="40"/>
          <w:u w:val="thick" w:color="23667E"/>
          <w:rFonts w:ascii="Times New Roman" w:eastAsia="Times New Roman" w:hAnsi="Times New Roman" w:hint="default"/>
        </w:rPr>
        <w:wordWrap w:val="off"/>
      </w:pPr>
      <w:r>
        <w:rPr>
          <w:i/>
          <w:b w:val="1"/>
          <w:color w:val="FF0000"/>
          <w:sz w:val="40"/>
          <w:szCs w:val="40"/>
          <w:u w:val="thick" w:color="23667E"/>
          <w:rFonts w:ascii="Times New Roman" w:eastAsia="Times New Roman" w:hAnsi="Times New Roman" w:hint="default"/>
        </w:rPr>
        <w:t xml:space="preserve">Because I Could not Stop for Death</w:t>
      </w: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FF0000"/>
          <w:sz w:val="40"/>
          <w:szCs w:val="40"/>
          <w:u w:val="thick" w:color="23667E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FF0000"/>
          <w:sz w:val="40"/>
          <w:szCs w:val="40"/>
          <w:u w:val="thick" w:color="23667E"/>
          <w:rFonts w:ascii="Times New Roman" w:eastAsia="Times New Roman" w:hAnsi="Times New Roman" w:hint="default"/>
        </w:rPr>
        <w:t xml:space="preserve">شرح ومجهود نوني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محاضرة 8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Because I Could Not Stop for Death.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Samples of American Poetry.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A Poem by Emily Dickinson.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>Born:1830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>Die:1886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6 Stanza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Rhym Stanza1: abcb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>2:abcd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>3:abcb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>4:abcb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>5:abcb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>6:abcd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نوع قصيدة ايميلي غنائية تتحدث عن الموت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lyric poem on the theme of death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الستانزا الواحد 4 سطور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contains six stanzas, each with four lines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الاربع سطور تسمى كواترين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A four-line stanza is called a quatrain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نشرت القصيدة اول مره عام 1890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The poem was first published in 1890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في الستانزا 1 تبدا رحلة القبر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حين ياتي الموت مناديا في عربه يكون الخلود فيها احد الركاب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The journey to the grave begins in Stanza 1, when Death comes </w:t>
      </w:r>
      <w:r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calling in a carriage in which Immortality is also a passenger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هذي هي الابيات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Because I could not stop for Death,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He kindly stopped for me;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The carriage held but just ourselves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t xml:space="preserve">And Immortality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23667E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D41D68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D41D68"/>
          <w:sz w:val="32"/>
          <w:szCs w:val="32"/>
          <w:rFonts w:ascii="Times New Roman" w:eastAsia="Times New Roman" w:hAnsi="Times New Roman" w:hint="default"/>
        </w:rPr>
        <w:t xml:space="preserve">ستانزا2: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D41D68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D41D68"/>
          <w:sz w:val="32"/>
          <w:szCs w:val="32"/>
          <w:rFonts w:ascii="Times New Roman" w:eastAsia="Times New Roman" w:hAnsi="Times New Roman" w:hint="default"/>
        </w:rPr>
        <w:t xml:space="preserve">تكمل العربة مسيرها, اشارة على ان الموت ياتي على هيئة مرض او وهن ياخذ وقته في </w:t>
      </w:r>
      <w:r>
        <w:rPr>
          <w:rtl/>
          <w:b w:val="1"/>
          <w:color w:val="D41D68"/>
          <w:sz w:val="32"/>
          <w:szCs w:val="32"/>
          <w:rFonts w:ascii="Times New Roman" w:eastAsia="Times New Roman" w:hAnsi="Times New Roman" w:hint="default"/>
        </w:rPr>
        <w:t>القتل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D41D68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D41D68"/>
          <w:sz w:val="32"/>
          <w:szCs w:val="32"/>
          <w:rFonts w:ascii="Times New Roman" w:eastAsia="Times New Roman" w:hAnsi="Times New Roman" w:hint="default"/>
        </w:rPr>
        <w:t xml:space="preserve">As the trip continues in Stanza 2, the carriage trundles along at an </w:t>
      </w:r>
      <w:r>
        <w:rPr>
          <w:b w:val="1"/>
          <w:color w:val="D41D68"/>
          <w:sz w:val="32"/>
          <w:szCs w:val="32"/>
          <w:rFonts w:ascii="Times New Roman" w:eastAsia="Times New Roman" w:hAnsi="Times New Roman" w:hint="default"/>
        </w:rPr>
        <w:t xml:space="preserve">easy, unhurried pace, perhaps suggesting that death has arrived </w:t>
      </w:r>
      <w:r>
        <w:rPr>
          <w:b w:val="1"/>
          <w:color w:val="D41D68"/>
          <w:sz w:val="32"/>
          <w:szCs w:val="32"/>
          <w:rFonts w:ascii="Times New Roman" w:eastAsia="Times New Roman" w:hAnsi="Times New Roman" w:hint="default"/>
        </w:rPr>
        <w:t xml:space="preserve">in the form of a disease or debility that takes its time to kill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D41D68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D41D68"/>
          <w:sz w:val="32"/>
          <w:szCs w:val="32"/>
          <w:rFonts w:ascii="Times New Roman" w:eastAsia="Times New Roman" w:hAnsi="Times New Roman" w:hint="default"/>
        </w:rPr>
        <w:t xml:space="preserve">هذي هي الابيات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D41D68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D41D68"/>
          <w:sz w:val="32"/>
          <w:szCs w:val="32"/>
          <w:rFonts w:ascii="Times New Roman" w:eastAsia="Times New Roman" w:hAnsi="Times New Roman" w:hint="default"/>
        </w:rPr>
        <w:t xml:space="preserve">We slowly drove, he knew no haste,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D41D68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D41D68"/>
          <w:sz w:val="32"/>
          <w:szCs w:val="32"/>
          <w:rFonts w:ascii="Times New Roman" w:eastAsia="Times New Roman" w:hAnsi="Times New Roman" w:hint="default"/>
        </w:rPr>
        <w:t xml:space="preserve">And I had put away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D41D68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D41D68"/>
          <w:sz w:val="32"/>
          <w:szCs w:val="32"/>
          <w:rFonts w:ascii="Times New Roman" w:eastAsia="Times New Roman" w:hAnsi="Times New Roman" w:hint="default"/>
        </w:rPr>
        <w:t xml:space="preserve">My labour, and my leisure too, For his civility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D41D68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>الستانزا3: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تسترجع الكاتبه مراحل حياتها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الطفولة في مشهد الريسيس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سن الرشد مشهد الحبوب الناضجة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وصول الى الموت مشهد غروب الشمس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كانها تمر الى الجانب الاخر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Then, in Stanza 3, the author appears to review the stages of her </w:t>
      </w: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life: childhood (the recess scene, maturity the ripe, hence, “gazing” </w:t>
      </w: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grain), and the descent into death (the setting sun)as she passes to </w:t>
      </w: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the other side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هذي هي الابيات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We passed the school where children played,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Their lessons scarcely done;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We passed the fields of gazing grain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We passed the setting sun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E40FC5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E40FC5"/>
          <w:sz w:val="32"/>
          <w:szCs w:val="32"/>
          <w:rFonts w:ascii="Times New Roman" w:eastAsia="Times New Roman" w:hAnsi="Times New Roman" w:hint="default"/>
        </w:rPr>
        <w:t>الستاتزا4: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E40FC5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E40FC5"/>
          <w:sz w:val="32"/>
          <w:szCs w:val="32"/>
          <w:rFonts w:ascii="Times New Roman" w:eastAsia="Times New Roman" w:hAnsi="Times New Roman" w:hint="default"/>
        </w:rPr>
        <w:t xml:space="preserve">تمر بها رعشه لانها لم تلبس مايدفنها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E40FC5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E40FC5"/>
          <w:sz w:val="32"/>
          <w:szCs w:val="32"/>
          <w:rFonts w:ascii="Times New Roman" w:eastAsia="Times New Roman" w:hAnsi="Times New Roman" w:hint="default"/>
        </w:rPr>
        <w:t xml:space="preserve">لبسها مناسب اكثر لحضور حفل زفاف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E40FC5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E40FC5"/>
          <w:sz w:val="32"/>
          <w:szCs w:val="32"/>
          <w:rFonts w:ascii="Times New Roman" w:eastAsia="Times New Roman" w:hAnsi="Times New Roman" w:hint="default"/>
        </w:rPr>
        <w:t xml:space="preserve">بدلاً عن حضور جنازة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E40FC5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E40FC5"/>
          <w:sz w:val="32"/>
          <w:szCs w:val="32"/>
          <w:rFonts w:ascii="Times New Roman" w:eastAsia="Times New Roman" w:hAnsi="Times New Roman" w:hint="default"/>
        </w:rPr>
        <w:t xml:space="preserve">There, she experiences a chill because she is not warmly dressed. </w:t>
      </w:r>
      <w:r>
        <w:rPr>
          <w:b w:val="1"/>
          <w:color w:val="E40FC5"/>
          <w:sz w:val="32"/>
          <w:szCs w:val="32"/>
          <w:rFonts w:ascii="Times New Roman" w:eastAsia="Times New Roman" w:hAnsi="Times New Roman" w:hint="default"/>
        </w:rPr>
        <w:t xml:space="preserve">In fact, her garments are more appropriate for a wedding, </w:t>
      </w:r>
      <w:r>
        <w:rPr>
          <w:b w:val="1"/>
          <w:color w:val="E40FC5"/>
          <w:sz w:val="32"/>
          <w:szCs w:val="32"/>
          <w:rFonts w:ascii="Times New Roman" w:eastAsia="Times New Roman" w:hAnsi="Times New Roman" w:hint="default"/>
        </w:rPr>
        <w:t xml:space="preserve">representing a new beginning, than for a funeral, representing an </w:t>
      </w:r>
      <w:r>
        <w:rPr>
          <w:b w:val="1"/>
          <w:color w:val="E40FC5"/>
          <w:sz w:val="32"/>
          <w:szCs w:val="32"/>
          <w:rFonts w:ascii="Times New Roman" w:eastAsia="Times New Roman" w:hAnsi="Times New Roman" w:hint="default"/>
        </w:rPr>
        <w:t>end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E40FC5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E40FC5"/>
          <w:sz w:val="32"/>
          <w:szCs w:val="32"/>
          <w:rFonts w:ascii="Times New Roman" w:eastAsia="Times New Roman" w:hAnsi="Times New Roman" w:hint="default"/>
        </w:rPr>
        <w:t xml:space="preserve">هذي هي الابيات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E40FC5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E40FC5"/>
          <w:sz w:val="32"/>
          <w:szCs w:val="32"/>
          <w:rFonts w:ascii="Times New Roman" w:eastAsia="Times New Roman" w:hAnsi="Times New Roman" w:hint="default"/>
        </w:rPr>
        <w:t xml:space="preserve">Or rather, he passed us;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E40FC5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E40FC5"/>
          <w:sz w:val="32"/>
          <w:szCs w:val="32"/>
          <w:rFonts w:ascii="Times New Roman" w:eastAsia="Times New Roman" w:hAnsi="Times New Roman" w:hint="default"/>
        </w:rPr>
        <w:t xml:space="preserve">The dews grew quivering and chill,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E40FC5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E40FC5"/>
          <w:sz w:val="32"/>
          <w:szCs w:val="32"/>
          <w:rFonts w:ascii="Times New Roman" w:eastAsia="Times New Roman" w:hAnsi="Times New Roman" w:hint="default"/>
        </w:rPr>
        <w:t xml:space="preserve">For only gossamer my gown,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E40FC5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E40FC5"/>
          <w:sz w:val="32"/>
          <w:szCs w:val="32"/>
          <w:rFonts w:ascii="Times New Roman" w:eastAsia="Times New Roman" w:hAnsi="Times New Roman" w:hint="default"/>
        </w:rPr>
        <w:t xml:space="preserve">My tippet only tulle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C00000"/>
          <w:sz w:val="32"/>
          <w:szCs w:val="32"/>
          <w:rFonts w:ascii="Times New Roman" w:eastAsia="Times New Roman" w:hAnsi="Times New Roman" w:hint="default"/>
        </w:rPr>
        <w:t>الستانزا5: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وصفها للقبر وكانه منزلها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وكيف انها تحس بالراحه لموتها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Her description of the grave as her “house” indicates how </w:t>
      </w: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comfortable she feels about death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هذي هي الابيات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We paused before a house that seemed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A swelling of the ground;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The roof was scarcely visible,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The cornice but a mound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الستانزا6: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انه بعد مضي قرون تبدو حياتها الجديدة مبهجه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وسعيده جداً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والوقت ساكن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وكانه لم يمضي اقل من يوم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There, after centuries pass, so pleasant is her new life that time </w:t>
      </w: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seems to stand still, feeling “shorter than a Day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هذي هي الابيات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Since then 'tis centuries; but each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Feels shorter than the day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I first surmised the horses'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heads Were toward eternity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613189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613189"/>
          <w:sz w:val="32"/>
          <w:szCs w:val="32"/>
          <w:rFonts w:ascii="Times New Roman" w:eastAsia="Times New Roman" w:hAnsi="Times New Roman" w:hint="default"/>
        </w:rPr>
        <w:t xml:space="preserve">الموضوع العام للقصيدة هو عدم الخوف من الموت لانه جزء طبيعي من الحلقة اللامنتهية </w:t>
      </w:r>
      <w:r>
        <w:rPr>
          <w:rtl/>
          <w:b w:val="1"/>
          <w:color w:val="613189"/>
          <w:sz w:val="32"/>
          <w:szCs w:val="32"/>
          <w:rFonts w:ascii="Times New Roman" w:eastAsia="Times New Roman" w:hAnsi="Times New Roman" w:hint="default"/>
        </w:rPr>
        <w:t>للطبيعة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t xml:space="preserve">The overall theme of the poem seems to be that death is not to be </w:t>
      </w:r>
      <w:r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t xml:space="preserve">feared since it is a natural part of the endless cycle of nature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89315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89315A"/>
          <w:sz w:val="32"/>
          <w:szCs w:val="32"/>
          <w:rFonts w:ascii="Times New Roman" w:eastAsia="Times New Roman" w:hAnsi="Times New Roman" w:hint="default"/>
        </w:rPr>
        <w:t>Characters: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89315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89315A"/>
          <w:sz w:val="32"/>
          <w:szCs w:val="32"/>
          <w:rFonts w:ascii="Times New Roman" w:eastAsia="Times New Roman" w:hAnsi="Times New Roman" w:hint="default"/>
        </w:rPr>
        <w:t xml:space="preserve">الشخصيات المذكورة في القصيدة: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89315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89315A"/>
          <w:sz w:val="32"/>
          <w:szCs w:val="32"/>
          <w:rFonts w:ascii="Times New Roman" w:eastAsia="Times New Roman" w:hAnsi="Times New Roman" w:hint="default"/>
        </w:rPr>
        <w:t xml:space="preserve">Speaker: A woman who speaks from the grave.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89315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89315A"/>
          <w:sz w:val="32"/>
          <w:szCs w:val="32"/>
          <w:rFonts w:ascii="Times New Roman" w:eastAsia="Times New Roman" w:hAnsi="Times New Roman" w:hint="default"/>
        </w:rPr>
        <w:t xml:space="preserve">المتحدث امرأه تتحدث عن القبر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89315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89315A"/>
          <w:sz w:val="32"/>
          <w:szCs w:val="32"/>
          <w:rFonts w:ascii="Times New Roman" w:eastAsia="Times New Roman" w:hAnsi="Times New Roman" w:hint="default"/>
        </w:rPr>
        <w:t xml:space="preserve">Death: Suitor who called for the narrator to escort her to eternity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89315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89315A"/>
          <w:sz w:val="32"/>
          <w:szCs w:val="32"/>
          <w:rFonts w:ascii="Times New Roman" w:eastAsia="Times New Roman" w:hAnsi="Times New Roman" w:hint="default"/>
        </w:rPr>
        <w:t xml:space="preserve">الموت الذي جسد على انه خاطب جاء لياخذها الى عالم الابدية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89315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89315A"/>
          <w:sz w:val="32"/>
          <w:szCs w:val="32"/>
          <w:rFonts w:ascii="Times New Roman" w:eastAsia="Times New Roman" w:hAnsi="Times New Roman" w:hint="default"/>
        </w:rPr>
        <w:t xml:space="preserve">Immortality: A passenger in the carriage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89315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89315A"/>
          <w:sz w:val="32"/>
          <w:szCs w:val="32"/>
          <w:rFonts w:ascii="Times New Roman" w:eastAsia="Times New Roman" w:hAnsi="Times New Roman" w:hint="default"/>
        </w:rPr>
        <w:t xml:space="preserve">الخلود هو احد الركاب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89315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89315A"/>
          <w:sz w:val="32"/>
          <w:szCs w:val="32"/>
          <w:rFonts w:ascii="Times New Roman" w:eastAsia="Times New Roman" w:hAnsi="Times New Roman" w:hint="default"/>
        </w:rPr>
        <w:t xml:space="preserve">Children: Boys and girls at play in a schoolyard. They symbolize </w:t>
      </w:r>
      <w:r>
        <w:rPr>
          <w:b w:val="1"/>
          <w:color w:val="89315A"/>
          <w:sz w:val="32"/>
          <w:szCs w:val="32"/>
          <w:rFonts w:ascii="Times New Roman" w:eastAsia="Times New Roman" w:hAnsi="Times New Roman" w:hint="default"/>
        </w:rPr>
        <w:t xml:space="preserve">childhood as a stage of life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89315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89315A"/>
          <w:sz w:val="32"/>
          <w:szCs w:val="32"/>
          <w:rFonts w:ascii="Times New Roman" w:eastAsia="Times New Roman" w:hAnsi="Times New Roman" w:hint="default"/>
        </w:rPr>
        <w:t xml:space="preserve">الاطفال رمز الطفوله تدل على مرحله من مراحل الحياة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89315A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t>Notes: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نقاط للملاحظة: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1ـ </w:t>
      </w:r>
      <w:r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gossamer my gown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الفستان الخفيف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2ـ </w:t>
      </w:r>
      <w:r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t>tippet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>الشال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3ـ </w:t>
      </w:r>
      <w:r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t>Tulle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قماش التل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4ـ </w:t>
      </w:r>
      <w:r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t>house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قبر المتحدثة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5ـ </w:t>
      </w:r>
      <w:r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t>cornice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>الكورنيش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6ـ </w:t>
      </w:r>
      <w:r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Since . . . centuries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طول الوقت اللي قضته في القبر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Meter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>الوزن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عندنا ستانزا1 عبارة عن 4 لاين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السطر الاول 8 سايلابل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>4فييت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في كل فييت 2 سايلابل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the first line has eight syllables (four feet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تبون تعرفون ايش يعني فييت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Because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هذا فييت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هو عبارة عن 2 سايلابل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Be/Cause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I Could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فييت رقم 2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عبارة عن 2 سايلابل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I/Could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not Stop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فييت رقم 3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عبارة عن 2سايلابل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not/Stop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for Death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فييت رقم 4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عبارة عن 2سايلابل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for/Death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باذن الله فهمتوها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لان مافيه وقت اكمل 5 ستانزا الباقي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بس نفس التطبيق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هذه القصيدة ليس لها قافية محددة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لان كل ستانزا قافيه غير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ممكن تتكرر القافية بين بعض المقاطع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The second and fourth lines of stanzas 1, 2, 4, 5, and 6 rhyme. </w:t>
      </w: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However, some of the lines contain only close rhymes or eye </w:t>
      </w: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rhymes. In the third stanza, there is no end rhyme, but ring (line 2) </w:t>
      </w: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rhymes with the penultimate words in lines 3 and 4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بلاغيات النص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Because I could not stop for Death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هنا فيه جناس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>Alliteration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كيف انا اعلمكم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>Be/Cause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تعتبر </w:t>
      </w: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Cause </w:t>
      </w: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كلمة لوحدها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فيها جناس مع </w:t>
      </w: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>could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he knew no haste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My labor, and my leisure too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At recess, in the ring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gazing grain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setting sun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For only gossamer my gown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My tippet only tulle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هذي كمان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toward eternity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>جناس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كيف انا اعلمكم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to/ward e/ternity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معناته </w:t>
      </w: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>to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جناس مع </w:t>
      </w: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>ternity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We passed the school, where children strove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At recess, in the ring;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We passed the fields of gazing grain,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We passed the setting sun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هذي فيها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>Anaphora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Since then 'tis centuries, and yet each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Feels shorter than the day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I first surmised the horses' heads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>هذي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>Paradox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t xml:space="preserve">We passed the setting sun.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t xml:space="preserve">Or rather, he passed us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t xml:space="preserve">Comparison of the sun to a person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613189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613189"/>
          <w:sz w:val="32"/>
          <w:szCs w:val="32"/>
          <w:rFonts w:ascii="Times New Roman" w:eastAsia="Times New Roman" w:hAnsi="Times New Roman" w:hint="default"/>
        </w:rPr>
        <w:t>هذي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t>Personification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613189"/>
          <w:sz w:val="32"/>
          <w:szCs w:val="32"/>
          <w:rFonts w:ascii="Times New Roman" w:eastAsia="Times New Roman" w:hAnsi="Times New Roman" w:hint="default"/>
        </w:rPr>
        <w:t xml:space="preserve">Death is personified throughout the poem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613189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613189"/>
          <w:sz w:val="32"/>
          <w:szCs w:val="32"/>
          <w:rFonts w:ascii="Times New Roman" w:eastAsia="Times New Roman" w:hAnsi="Times New Roman" w:hint="default"/>
        </w:rPr>
        <w:t xml:space="preserve">كل القصيدة تجسيد للموت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613189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89315A"/>
          <w:sz w:val="40"/>
          <w:szCs w:val="40"/>
          <w:u w:val="thick" w:color="00B050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89315A"/>
          <w:sz w:val="40"/>
          <w:szCs w:val="40"/>
          <w:u w:val="thick" w:color="00B050"/>
          <w:rFonts w:ascii="Times New Roman" w:eastAsia="Times New Roman" w:hAnsi="Times New Roman" w:hint="default"/>
        </w:rPr>
        <w:t xml:space="preserve">لاتنسوني من دعائكم</w:t>
      </w: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i/>
          <w:b w:val="1"/>
          <w:color w:val="89315A"/>
          <w:sz w:val="40"/>
          <w:szCs w:val="40"/>
          <w:u w:val="thick" w:color="00B050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89315A"/>
          <w:sz w:val="40"/>
          <w:szCs w:val="40"/>
          <w:u w:val="thick" w:color="00B050"/>
          <w:rFonts w:ascii="Times New Roman" w:eastAsia="Times New Roman" w:hAnsi="Times New Roman" w:hint="default"/>
        </w:rPr>
        <w:t xml:space="preserve">محبتكم نوني</w:t>
      </w:r>
    </w:p>
    <w:sectPr>
      <w:pgSz w:w="11906" w:h="16838"/>
      <w:pgMar w:top="1701" w:right="1440" w:bottom="1440" w:left="1440" w:header="708" w:footer="70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anumGothic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balanceSingleByteDoubleByteWidth/>
    <w:doNotExpandShiftReturn/>
    <w:useFELayout/>
    <w:compatSetting w:name="compatibilityMode" w:uri="http://schemas.microsoft.com/office/word" w:val="14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/>
    </w:pPrDefault>
    <w:rPrDefault>
      <w:rPr>
        <w:shd w:val="clear"/>
        <w:sz w:val="20"/>
        <w:szCs w:val="20"/>
        <w:w w:val="100"/>
      </w:rPr>
    </w:rPrDefault>
  </w:docDefaults>
  <w:style w:default="1" w:styleId="PO1" w:type="paragraph">
    <w:name w:val="Normal"/>
    <w:qFormat/>
    <w:uiPriority w:val="1"/>
    <w:pPr>
      <w:jc w:val="both"/>
    </w:pPr>
    <w:rPr>
      <w:shd w:val="clear"/>
      <w:sz w:val="20"/>
      <w:szCs w:val="20"/>
      <w:w w:val="100"/>
    </w:rPr>
  </w:style>
  <w:style w:default="1" w:styleId="PO2" w:type="character">
    <w:name w:val="Default Paragraph Font"/>
    <w:qFormat/>
    <w:uiPriority w:val="2"/>
    <w:semiHidden/>
    <w:unhideWhenUsed/>
    <w:rPr>
      <w:shd w:val="clear"/>
      <w:sz w:val="20"/>
      <w:szCs w:val="20"/>
      <w:w w:val="100"/>
    </w:rPr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>
</a:sysClr>
      </a:dk1>
      <a:lt1>
        <a:sysClr val="window" lastClr="FFFFFF">
</a:sysClr>
      </a:lt1>
      <a:dk2>
        <a:srgbClr val="44546A">
</a:srgbClr>
      </a:dk2>
      <a:lt2>
        <a:srgbClr val="E7E6E6">
</a:srgbClr>
      </a:lt2>
      <a:accent1>
        <a:srgbClr val="5B9BD5">
</a:srgbClr>
      </a:accent1>
      <a:accent2>
        <a:srgbClr val="ED7D31">
</a:srgbClr>
      </a:accent2>
      <a:accent3>
        <a:srgbClr val="A5A5A5">
</a:srgbClr>
      </a:accent3>
      <a:accent4>
        <a:srgbClr val="FFC000">
</a:srgbClr>
      </a:accent4>
      <a:accent5>
        <a:srgbClr val="4472C4">
</a:srgbClr>
      </a:accent5>
      <a:accent6>
        <a:srgbClr val="70AD47">
</a:srgbClr>
      </a:accent6>
      <a:hlink>
        <a:srgbClr val="0563C1">
</a:srgbClr>
      </a:hlink>
      <a:folHlink>
        <a:srgbClr val="954F72">
</a:srgbClr>
      </a:folHlink>
    </a:clrScheme>
    <a:fontScheme name="Office">
      <a:majorFont>
        <a:latin typeface="맑은 고딕" panose="020F0302020204030204">
</a:latin>
        <a:ea typeface="">
</a:ea>
        <a:cs typeface="">
</a:cs>
      </a:majorFont>
      <a:minorFont>
        <a:latin typeface="맑은 고딕" panose="020F0502020204030204">
</a:latin>
        <a:ea typeface="">
</a:ea>
        <a:cs typeface="">
</a:cs>
      </a:minorFont>
    </a:fontScheme>
    <a:fmtScheme name="Office">
      <a:fillStyleLst>
        <a:solidFill>
          <a:schemeClr val="phClr">
</a:schemeClr>
        </a:solidFill>
        <a:gradFill rotWithShape="1">
          <a:gsLst>
            <a:gs pos="0">
              <a:schemeClr val="phClr">
                <a:lumMod val="110000">
</a:lumMod>
                <a:satMod val="105000">
</a:satMod>
                <a:tint val="67000">
</a:tint>
              </a:schemeClr>
            </a:gs>
            <a:gs pos="50000">
              <a:schemeClr val="phClr">
                <a:lumMod val="105000">
</a:lumMod>
                <a:satMod val="103000">
</a:satMod>
                <a:tint val="73000">
</a:tint>
              </a:schemeClr>
            </a:gs>
            <a:gs pos="100000">
              <a:schemeClr val="phClr">
                <a:lumMod val="105000">
</a:lumMod>
                <a:satMod val="109000">
</a:satMod>
                <a:tint val="81000">
</a:tint>
              </a:schemeClr>
            </a:gs>
          </a:gsLst>
          <a:lin ang="5400000" scaled="0">
</a:lin>
        </a:gradFill>
        <a:gradFill rotWithShape="1">
          <a:gsLst>
            <a:gs pos="0">
              <a:schemeClr val="phClr">
                <a:satMod val="103000">
</a:satMod>
                <a:lumMod val="102000">
</a:lumMod>
                <a:tint val="94000">
</a:tint>
              </a:schemeClr>
            </a:gs>
            <a:gs pos="50000">
              <a:schemeClr val="phClr">
                <a:satMod val="110000">
</a:satMod>
                <a:lumMod val="100000">
</a:lumMod>
                <a:shade val="100000">
</a:shade>
              </a:schemeClr>
            </a:gs>
            <a:gs pos="100000">
              <a:schemeClr val="phClr">
                <a:lumMod val="99000">
</a:lumMod>
                <a:satMod val="120000">
</a:satMod>
                <a:shade val="78000">
</a:shade>
              </a:schemeClr>
            </a:gs>
          </a:gsLst>
          <a:lin ang="5400000" scaled="0">
</a:lin>
        </a:gradFill>
      </a:fillStyleLst>
      <a:lnStyleLst>
        <a:ln w="6350" cap="flat" cmpd="sng" algn="ctr">
          <a:solidFill>
            <a:schemeClr val="phClr">
</a:schemeClr>
          </a:solidFill>
          <a:prstDash val="solid">
</a:prstDash>
          <a:miter lim="800000">
</a:miter>
        </a:ln>
        <a:ln w="12700" cap="flat" cmpd="sng" algn="ctr">
          <a:solidFill>
            <a:schemeClr val="phClr">
</a:schemeClr>
          </a:solidFill>
          <a:prstDash val="solid">
</a:prstDash>
          <a:miter lim="800000">
</a:miter>
        </a:ln>
        <a:ln w="19050" cap="flat" cmpd="sng" algn="ctr">
          <a:solidFill>
            <a:schemeClr val="phClr">
</a:schemeClr>
          </a:solidFill>
          <a:prstDash val="solid">
</a:prstDash>
          <a:miter lim="800000">
</a:miter>
        </a:ln>
      </a:lnStyleLst>
      <a:effectStyleLst>
        <a:effectStyle>
          <a:effectLst>
</a:effectLst>
        </a:effectStyle>
        <a:effectStyle>
          <a:effectLst>
</a:effectLst>
        </a:effectStyle>
        <a:effectStyle>
          <a:effectLst>
            <a:outerShdw blurRad="57150" dist="19050" dir="5400000" algn="ctr" rotWithShape="0">
              <a:srgbClr val="000000">
                <a:alpha val="63000">
</a:alpha>
              </a:srgbClr>
            </a:outerShdw>
          </a:effectLst>
        </a:effectStyle>
      </a:effectStyleLst>
      <a:bgFillStyleLst>
        <a:solidFill>
          <a:schemeClr val="phClr">
</a:schemeClr>
        </a:solidFill>
        <a:solidFill>
          <a:schemeClr val="phClr">
            <a:tint val="95000">
</a:tint>
            <a:satMod val="170000">
</a:satMod>
          </a:schemeClr>
        </a:solidFill>
        <a:gradFill rotWithShape="1">
          <a:gsLst>
            <a:gs pos="0">
              <a:schemeClr val="phClr">
                <a:tint val="93000">
</a:tint>
                <a:satMod val="150000">
</a:satMod>
                <a:shade val="98000">
</a:shade>
                <a:lumMod val="102000">
</a:lumMod>
              </a:schemeClr>
            </a:gs>
            <a:gs pos="50000">
              <a:schemeClr val="phClr">
                <a:tint val="98000">
</a:tint>
                <a:satMod val="130000">
</a:satMod>
                <a:shade val="90000">
</a:shade>
                <a:lumMod val="103000">
</a:lumMod>
              </a:schemeClr>
            </a:gs>
            <a:gs pos="100000">
              <a:schemeClr val="phClr">
                <a:shade val="63000">
</a:shade>
                <a:satMod val="120000">
</a:satMod>
              </a:schemeClr>
            </a:gs>
          </a:gsLst>
          <a:lin ang="5400000" scaled="0">
</a:lin>
        </a:gradFill>
      </a:bgFillStyleLst>
    </a:fmtScheme>
  </a:themeElements>
  <a:objectDefaults>
</a:objectDefaults>
  <a:extraClrSchemeLst>
</a:extraClrSchemeLst>
  <a:extLst>
    <a:ext uri="{05A4C25C-085E-4340-85A3-A5531E510DB2}">
      <thm15:themeFamily xmlns:thm15="http://schemas.microsoft.com/office/thememl/2012/main" name="Office Theme" id="{62F939B6-93AF-4DB8-9C6B-D6C7DFDC589F}" vid="{4A3C46E8-61CC-4603-A589-7422A47A8E4A}">
</thm15:themeFamily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9</Pages>
  <Paragraphs>0</Paragraphs>
  <Words>959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نوني</dc:creator>
  <cp:lastModifiedBy>نوني</cp:lastModifiedBy>
</cp:coreProperties>
</file>